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4ADC2" w14:textId="77777777" w:rsidR="00A10D67" w:rsidRDefault="00A10D67">
      <w:pPr>
        <w:pStyle w:val="Nzev"/>
        <w:spacing w:line="276" w:lineRule="auto"/>
        <w:rPr>
          <w:b w:val="0"/>
          <w:bCs w:val="0"/>
          <w:sz w:val="22"/>
          <w:szCs w:val="22"/>
        </w:rPr>
      </w:pPr>
    </w:p>
    <w:p w14:paraId="4884ADC3" w14:textId="77777777" w:rsidR="00A10D67" w:rsidRPr="007F520C" w:rsidRDefault="00F619C6">
      <w:pPr>
        <w:pStyle w:val="Nzev"/>
        <w:spacing w:line="276" w:lineRule="auto"/>
        <w:rPr>
          <w:rFonts w:asciiTheme="majorHAnsi" w:hAnsiTheme="majorHAnsi" w:cstheme="majorHAnsi"/>
          <w:smallCaps/>
          <w:sz w:val="40"/>
          <w:szCs w:val="40"/>
        </w:rPr>
      </w:pPr>
      <w:r w:rsidRPr="007F520C">
        <w:rPr>
          <w:rFonts w:asciiTheme="majorHAnsi" w:hAnsiTheme="majorHAnsi" w:cstheme="majorHAnsi"/>
          <w:smallCaps/>
          <w:sz w:val="40"/>
          <w:szCs w:val="40"/>
        </w:rPr>
        <w:t>PŘÍLOHA Č. 2.4 ZADÁVACÍ DOKUMENTACE</w:t>
      </w:r>
    </w:p>
    <w:p w14:paraId="4884ADC4" w14:textId="77777777" w:rsidR="00A10D67" w:rsidRPr="007F520C" w:rsidRDefault="00F619C6">
      <w:pPr>
        <w:pStyle w:val="Nzev"/>
        <w:spacing w:line="276" w:lineRule="auto"/>
        <w:rPr>
          <w:rFonts w:asciiTheme="majorHAnsi" w:hAnsiTheme="majorHAnsi" w:cstheme="majorHAnsi"/>
          <w:sz w:val="40"/>
          <w:szCs w:val="40"/>
          <w:u w:val="single"/>
        </w:rPr>
      </w:pPr>
      <w:r w:rsidRPr="007F520C">
        <w:rPr>
          <w:rFonts w:asciiTheme="majorHAnsi" w:hAnsiTheme="majorHAnsi" w:cstheme="majorHAnsi"/>
          <w:smallCaps/>
          <w:sz w:val="40"/>
          <w:szCs w:val="40"/>
        </w:rPr>
        <w:t xml:space="preserve">TECHNICKÁ SPECIFIKACE PŘEDMĚTU VEŘEJNÉ ZAKÁZKY ČÁST 4 - </w:t>
      </w:r>
      <w:r w:rsidRPr="007F520C">
        <w:rPr>
          <w:rFonts w:asciiTheme="majorHAnsi" w:hAnsiTheme="majorHAnsi" w:cstheme="majorHAnsi"/>
          <w:sz w:val="40"/>
          <w:szCs w:val="40"/>
          <w:u w:val="single"/>
        </w:rPr>
        <w:t>Komunikační infrastruktura a Kyberbezpečnost</w:t>
      </w:r>
    </w:p>
    <w:p w14:paraId="4884ADC5" w14:textId="77777777" w:rsidR="00A10D67" w:rsidRPr="007F520C" w:rsidRDefault="00A10D67">
      <w:pPr>
        <w:rPr>
          <w:rFonts w:asciiTheme="majorHAnsi" w:hAnsiTheme="majorHAnsi" w:cstheme="majorHAnsi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48"/>
      </w:tblGrid>
      <w:tr w:rsidR="00A10D67" w:rsidRPr="00EE3539" w14:paraId="4884ADC8" w14:textId="77777777">
        <w:tc>
          <w:tcPr>
            <w:tcW w:w="3114" w:type="dxa"/>
            <w:shd w:val="clear" w:color="auto" w:fill="DEEBF6"/>
          </w:tcPr>
          <w:p w14:paraId="4884ADC6" w14:textId="77777777" w:rsidR="00A10D67" w:rsidRPr="007F520C" w:rsidRDefault="00F619C6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7F520C">
              <w:rPr>
                <w:rFonts w:asciiTheme="majorHAnsi" w:hAnsiTheme="majorHAnsi" w:cstheme="majorHAnsi"/>
                <w:b/>
                <w:bCs/>
              </w:rPr>
              <w:t>Název veřejné zakázky:</w:t>
            </w:r>
          </w:p>
        </w:tc>
        <w:tc>
          <w:tcPr>
            <w:tcW w:w="5948" w:type="dxa"/>
            <w:shd w:val="clear" w:color="auto" w:fill="DEEBF6"/>
          </w:tcPr>
          <w:p w14:paraId="4884ADC7" w14:textId="144F90A8" w:rsidR="00A10D67" w:rsidRPr="007F520C" w:rsidRDefault="00F619C6">
            <w:pPr>
              <w:spacing w:line="276" w:lineRule="auto"/>
              <w:rPr>
                <w:rFonts w:asciiTheme="majorHAnsi" w:hAnsiTheme="majorHAnsi" w:cstheme="majorHAnsi"/>
                <w:b/>
                <w:bCs/>
                <w:highlight w:val="yellow"/>
              </w:rPr>
            </w:pPr>
            <w:r w:rsidRPr="007F520C">
              <w:rPr>
                <w:rFonts w:asciiTheme="majorHAnsi" w:hAnsiTheme="majorHAnsi" w:cstheme="majorHAnsi"/>
                <w:b/>
                <w:bCs/>
              </w:rPr>
              <w:t xml:space="preserve">Digitální transformace </w:t>
            </w:r>
            <w:proofErr w:type="spellStart"/>
            <w:r w:rsidRPr="007F520C">
              <w:rPr>
                <w:rFonts w:asciiTheme="majorHAnsi" w:hAnsiTheme="majorHAnsi" w:cstheme="majorHAnsi"/>
                <w:b/>
                <w:bCs/>
              </w:rPr>
              <w:t>Vilgain</w:t>
            </w:r>
            <w:proofErr w:type="spellEnd"/>
            <w:r w:rsidRPr="007F520C">
              <w:rPr>
                <w:rFonts w:asciiTheme="majorHAnsi" w:hAnsiTheme="majorHAnsi" w:cstheme="majorHAnsi"/>
                <w:b/>
                <w:bCs/>
              </w:rPr>
              <w:t xml:space="preserve"> s.r.o. </w:t>
            </w:r>
            <w:r w:rsidR="008C7B06" w:rsidRPr="007F520C">
              <w:rPr>
                <w:rFonts w:asciiTheme="majorHAnsi" w:hAnsiTheme="majorHAnsi" w:cstheme="majorHAnsi"/>
                <w:b/>
                <w:bCs/>
              </w:rPr>
              <w:t>– část 4</w:t>
            </w:r>
          </w:p>
        </w:tc>
      </w:tr>
      <w:tr w:rsidR="00A10D67" w:rsidRPr="00EE3539" w14:paraId="4884ADCB" w14:textId="77777777">
        <w:tc>
          <w:tcPr>
            <w:tcW w:w="3114" w:type="dxa"/>
          </w:tcPr>
          <w:p w14:paraId="4884ADC9" w14:textId="77777777" w:rsidR="00A10D67" w:rsidRPr="007F520C" w:rsidRDefault="00F619C6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7F520C">
              <w:rPr>
                <w:rFonts w:asciiTheme="majorHAnsi" w:hAnsiTheme="majorHAnsi" w:cstheme="majorHAnsi"/>
                <w:b/>
                <w:bCs/>
              </w:rPr>
              <w:t>Druh výběrového řízení:</w:t>
            </w:r>
          </w:p>
        </w:tc>
        <w:tc>
          <w:tcPr>
            <w:tcW w:w="5948" w:type="dxa"/>
          </w:tcPr>
          <w:p w14:paraId="4884ADCA" w14:textId="77777777" w:rsidR="00A10D67" w:rsidRPr="007F520C" w:rsidRDefault="00F619C6">
            <w:pPr>
              <w:spacing w:line="276" w:lineRule="auto"/>
              <w:rPr>
                <w:rFonts w:asciiTheme="majorHAnsi" w:hAnsiTheme="majorHAnsi" w:cstheme="majorHAnsi"/>
                <w:highlight w:val="yellow"/>
              </w:rPr>
            </w:pPr>
            <w:r w:rsidRPr="007F520C">
              <w:rPr>
                <w:rFonts w:asciiTheme="majorHAnsi" w:hAnsiTheme="majorHAnsi" w:cstheme="majorHAnsi"/>
              </w:rPr>
              <w:t>veřejná zakázka mimo režim zákona č. 134/2016 Sb., o zadávání veřejných zakázek (dále jen „ZZVZ“)</w:t>
            </w:r>
          </w:p>
        </w:tc>
      </w:tr>
      <w:tr w:rsidR="00A10D67" w:rsidRPr="00EE3539" w14:paraId="4884ADCE" w14:textId="77777777">
        <w:tc>
          <w:tcPr>
            <w:tcW w:w="3114" w:type="dxa"/>
          </w:tcPr>
          <w:p w14:paraId="4884ADCC" w14:textId="77777777" w:rsidR="00A10D67" w:rsidRPr="007F520C" w:rsidRDefault="00F619C6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7F520C">
              <w:rPr>
                <w:rFonts w:asciiTheme="majorHAnsi" w:hAnsiTheme="majorHAnsi" w:cstheme="majorHAnsi"/>
                <w:b/>
                <w:bCs/>
              </w:rPr>
              <w:t>Druh veřejné zakázky:</w:t>
            </w:r>
          </w:p>
        </w:tc>
        <w:tc>
          <w:tcPr>
            <w:tcW w:w="5948" w:type="dxa"/>
          </w:tcPr>
          <w:p w14:paraId="4884ADCD" w14:textId="77777777" w:rsidR="00A10D67" w:rsidRPr="007F520C" w:rsidRDefault="00F619C6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7F520C">
              <w:rPr>
                <w:rFonts w:asciiTheme="majorHAnsi" w:hAnsiTheme="majorHAnsi" w:cstheme="majorHAnsi"/>
              </w:rPr>
              <w:t>dodávky</w:t>
            </w:r>
          </w:p>
        </w:tc>
      </w:tr>
    </w:tbl>
    <w:p w14:paraId="4884ADCF" w14:textId="77777777" w:rsidR="00A10D67" w:rsidRPr="007F520C" w:rsidRDefault="00A10D67">
      <w:pPr>
        <w:spacing w:line="276" w:lineRule="auto"/>
        <w:jc w:val="both"/>
        <w:rPr>
          <w:rFonts w:asciiTheme="majorHAnsi" w:hAnsiTheme="majorHAnsi" w:cstheme="majorHAnsi"/>
        </w:rPr>
      </w:pPr>
    </w:p>
    <w:p w14:paraId="4884ADD0" w14:textId="77777777" w:rsidR="00A10D67" w:rsidRPr="007F520C" w:rsidRDefault="00F619C6">
      <w:pPr>
        <w:spacing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Tento dokument stanovuje minimální požadované parametry a funkcionality předmětu veřejné zakázky (dále jako „</w:t>
      </w:r>
      <w:r w:rsidRPr="007F520C">
        <w:rPr>
          <w:rFonts w:asciiTheme="majorHAnsi" w:hAnsiTheme="majorHAnsi" w:cstheme="majorHAnsi"/>
          <w:b/>
          <w:bCs/>
        </w:rPr>
        <w:t>předmět veřejné zakázky</w:t>
      </w:r>
      <w:r w:rsidRPr="007F520C">
        <w:rPr>
          <w:rFonts w:asciiTheme="majorHAnsi" w:hAnsiTheme="majorHAnsi" w:cstheme="majorHAnsi"/>
        </w:rPr>
        <w:t>“ nebo „</w:t>
      </w:r>
      <w:r w:rsidRPr="007F520C">
        <w:rPr>
          <w:rFonts w:asciiTheme="majorHAnsi" w:hAnsiTheme="majorHAnsi" w:cstheme="majorHAnsi"/>
          <w:b/>
          <w:bCs/>
        </w:rPr>
        <w:t>zařízení</w:t>
      </w:r>
      <w:r w:rsidRPr="007F520C">
        <w:rPr>
          <w:rFonts w:asciiTheme="majorHAnsi" w:hAnsiTheme="majorHAnsi" w:cstheme="majorHAnsi"/>
        </w:rPr>
        <w:t>“). V případě nejasností ohledně splnění určitého parametru může zadavatel po účastníkovi v rámci objasnění nabídky ve smyslu § 46 odst. 1 ZZVZ požadovat předložení produktových listů vyhotovených výrobcem nabízených zařízení (datasheets) nebo vzorků či modelů zařízení.</w:t>
      </w:r>
    </w:p>
    <w:p w14:paraId="4884ADD1" w14:textId="77777777" w:rsidR="00A10D67" w:rsidRPr="007F520C" w:rsidRDefault="00F619C6">
      <w:pPr>
        <w:spacing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Zadavatelem vymezené kapacitní, kvalitativní a technické parametry a požadavky na předmět veřejné zakázky stejně jako hodnoty uvedené u těchto parametrů jsou stanoveny jako </w:t>
      </w:r>
      <w:r w:rsidRPr="007F520C">
        <w:rPr>
          <w:rFonts w:asciiTheme="majorHAnsi" w:hAnsiTheme="majorHAnsi" w:cstheme="majorHAnsi"/>
          <w:b/>
          <w:bCs/>
        </w:rPr>
        <w:t>minimální přípustné</w:t>
      </w:r>
      <w:r w:rsidRPr="007F520C">
        <w:rPr>
          <w:rFonts w:asciiTheme="majorHAnsi" w:hAnsiTheme="majorHAnsi" w:cstheme="majorHAnsi"/>
        </w:rPr>
        <w:t>. Účastníci proto mohou nabídnout zařízení, která budou disponovat lepšími parametry a vlastnostmi u funkcionalit zadavatelem požadovaných.</w:t>
      </w:r>
    </w:p>
    <w:p w14:paraId="4884ADD2" w14:textId="77777777" w:rsidR="00A10D67" w:rsidRPr="007F520C" w:rsidRDefault="00F619C6">
      <w:pPr>
        <w:spacing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Pro to, aby nabídka mohla být posuzována a dále hodnocena, musí účastník splnit </w:t>
      </w:r>
      <w:r w:rsidRPr="007F520C">
        <w:rPr>
          <w:rFonts w:asciiTheme="majorHAnsi" w:hAnsiTheme="majorHAnsi" w:cstheme="majorHAnsi"/>
          <w:b/>
          <w:bCs/>
          <w:u w:val="single"/>
        </w:rPr>
        <w:t>všechny</w:t>
      </w:r>
      <w:r w:rsidRPr="007F520C">
        <w:rPr>
          <w:rFonts w:asciiTheme="majorHAnsi" w:hAnsiTheme="majorHAnsi" w:cstheme="majorHAnsi"/>
        </w:rPr>
        <w:t xml:space="preserve"> požadavky zadavatele.</w:t>
      </w:r>
    </w:p>
    <w:p w14:paraId="4884ADD3" w14:textId="77777777" w:rsidR="00A10D67" w:rsidRPr="007F520C" w:rsidRDefault="00F619C6">
      <w:pPr>
        <w:spacing w:line="276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7F520C">
        <w:rPr>
          <w:rFonts w:asciiTheme="majorHAnsi" w:hAnsiTheme="majorHAnsi" w:cstheme="majorHAnsi"/>
          <w:b/>
          <w:bCs/>
          <w:u w:val="single"/>
        </w:rPr>
        <w:t>Požadavky zadavatele:</w:t>
      </w:r>
    </w:p>
    <w:p w14:paraId="4884ADD4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Dodávaná komunikační infrastruktura musí zahrnovat aktivní i pasivní síťové prvky (switche, racky, kabeláž) a prvky kyberbezpečnosti  zajišťující plnou konektivitu a zabezpečení všech systémů skladu.</w:t>
      </w:r>
    </w:p>
    <w:p w14:paraId="4884ADD5" w14:textId="77777777" w:rsidR="00A10D67" w:rsidRPr="007F520C" w:rsidRDefault="00F619C6">
      <w:pPr>
        <w:numPr>
          <w:ilvl w:val="1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Aktivní síťové prvky:</w:t>
      </w:r>
    </w:p>
    <w:p w14:paraId="4884ADD6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2x </w:t>
      </w:r>
      <w:proofErr w:type="spellStart"/>
      <w:r w:rsidRPr="007F520C">
        <w:rPr>
          <w:rFonts w:asciiTheme="majorHAnsi" w:hAnsiTheme="majorHAnsi" w:cstheme="majorHAnsi"/>
        </w:rPr>
        <w:t>core</w:t>
      </w:r>
      <w:proofErr w:type="spellEnd"/>
      <w:r w:rsidRPr="007F520C">
        <w:rPr>
          <w:rFonts w:asciiTheme="majorHAnsi" w:hAnsiTheme="majorHAnsi" w:cstheme="majorHAnsi"/>
        </w:rPr>
        <w:t xml:space="preserve"> switche</w:t>
      </w:r>
    </w:p>
    <w:p w14:paraId="4884ADD7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8x distribučních </w:t>
      </w:r>
      <w:proofErr w:type="spellStart"/>
      <w:r w:rsidRPr="007F520C">
        <w:rPr>
          <w:rFonts w:asciiTheme="majorHAnsi" w:hAnsiTheme="majorHAnsi" w:cstheme="majorHAnsi"/>
        </w:rPr>
        <w:t>switchů</w:t>
      </w:r>
      <w:proofErr w:type="spellEnd"/>
    </w:p>
    <w:p w14:paraId="4884ADD8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98x Wi-Fi </w:t>
      </w:r>
      <w:proofErr w:type="spellStart"/>
      <w:r w:rsidRPr="007F520C">
        <w:rPr>
          <w:rFonts w:asciiTheme="majorHAnsi" w:hAnsiTheme="majorHAnsi" w:cstheme="majorHAnsi"/>
        </w:rPr>
        <w:t>access</w:t>
      </w:r>
      <w:proofErr w:type="spellEnd"/>
      <w:r w:rsidRPr="007F520C">
        <w:rPr>
          <w:rFonts w:asciiTheme="majorHAnsi" w:hAnsiTheme="majorHAnsi" w:cstheme="majorHAnsi"/>
        </w:rPr>
        <w:t xml:space="preserve"> pointů</w:t>
      </w:r>
    </w:p>
    <w:p w14:paraId="4884ADD9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2x kontroléry bezdrátové sítě</w:t>
      </w:r>
    </w:p>
    <w:p w14:paraId="4884ADDA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2x firewall (v redundantní konfiguraci)</w:t>
      </w:r>
    </w:p>
    <w:p w14:paraId="4884ADDB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1x centrální logovací server</w:t>
      </w:r>
    </w:p>
    <w:p w14:paraId="4884ADDC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1x monitoring server</w:t>
      </w:r>
    </w:p>
    <w:p w14:paraId="4884ADDD" w14:textId="77777777" w:rsidR="00A10D67" w:rsidRPr="007F520C" w:rsidRDefault="00F619C6">
      <w:pPr>
        <w:numPr>
          <w:ilvl w:val="1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Pasivní síťová infrastruktura:</w:t>
      </w:r>
    </w:p>
    <w:p w14:paraId="4884ADDE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8x optických spojů (mezi serverovnou a distribučními racky)</w:t>
      </w:r>
    </w:p>
    <w:p w14:paraId="4884ADDF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28x drátových zásuvek</w:t>
      </w:r>
    </w:p>
    <w:p w14:paraId="4884ADE0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140x datových kabelů (pro AS infrastrukturu)</w:t>
      </w:r>
    </w:p>
    <w:p w14:paraId="4884ADE1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200x datových kabelů (pro </w:t>
      </w:r>
      <w:proofErr w:type="spellStart"/>
      <w:r w:rsidRPr="007F520C">
        <w:rPr>
          <w:rFonts w:asciiTheme="majorHAnsi" w:hAnsiTheme="majorHAnsi" w:cstheme="majorHAnsi"/>
        </w:rPr>
        <w:t>IoT</w:t>
      </w:r>
      <w:proofErr w:type="spellEnd"/>
      <w:r w:rsidRPr="007F520C">
        <w:rPr>
          <w:rFonts w:asciiTheme="majorHAnsi" w:hAnsiTheme="majorHAnsi" w:cstheme="majorHAnsi"/>
        </w:rPr>
        <w:t xml:space="preserve"> / obecné využití)</w:t>
      </w:r>
    </w:p>
    <w:p w14:paraId="4884ADE2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2x datové kabely pro dedikované Wi-Fi zóny</w:t>
      </w:r>
    </w:p>
    <w:p w14:paraId="4884ADE3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lastRenderedPageBreak/>
        <w:t xml:space="preserve">1x serverový </w:t>
      </w:r>
      <w:proofErr w:type="spellStart"/>
      <w:r w:rsidRPr="007F520C">
        <w:rPr>
          <w:rFonts w:asciiTheme="majorHAnsi" w:hAnsiTheme="majorHAnsi" w:cstheme="majorHAnsi"/>
        </w:rPr>
        <w:t>rack</w:t>
      </w:r>
      <w:proofErr w:type="spellEnd"/>
    </w:p>
    <w:p w14:paraId="4884ADE4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4x distribuční racky</w:t>
      </w:r>
    </w:p>
    <w:p w14:paraId="4884ADE5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1x UPS pro serverovnu</w:t>
      </w:r>
    </w:p>
    <w:p w14:paraId="4884ADE6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4x UPS pro distribuční racky</w:t>
      </w:r>
    </w:p>
    <w:p w14:paraId="4884ADE7" w14:textId="77777777" w:rsidR="00A10D67" w:rsidRPr="007F520C" w:rsidRDefault="00F619C6">
      <w:pPr>
        <w:numPr>
          <w:ilvl w:val="1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Prvky kyberbezpečnosti:</w:t>
      </w:r>
    </w:p>
    <w:p w14:paraId="4884ADE8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Bezpečnostní licenční balík pro oba firewally</w:t>
      </w:r>
    </w:p>
    <w:p w14:paraId="4884ADE9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5x licence pro vzdálené připojení</w:t>
      </w:r>
    </w:p>
    <w:p w14:paraId="4884ADEA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1x logovací server</w:t>
      </w:r>
    </w:p>
    <w:p w14:paraId="4884ADEB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1x monitoring server</w:t>
      </w:r>
    </w:p>
    <w:p w14:paraId="4884ADEC" w14:textId="77777777" w:rsidR="00A10D67" w:rsidRPr="007F520C" w:rsidRDefault="00F619C6">
      <w:pPr>
        <w:numPr>
          <w:ilvl w:val="2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20x bezpečnostních licencí pro koncová zařízení</w:t>
      </w:r>
    </w:p>
    <w:p w14:paraId="4884ADED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Součástí dodávky musí být veškerý instalační materiál nezbytný pro realizaci komunikační infrastruktury, včetně kabelových žlabů, lišt, závěsů, chrániček, držáků, spojek, upevňovacích prvků a dalšího montážního příslušenství.</w:t>
      </w:r>
    </w:p>
    <w:p w14:paraId="4884ADEE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Dodavatel zajistí kompletní optickou infrastrukturu včetně optických konektorů, kazet, svárů, spojek, </w:t>
      </w:r>
      <w:proofErr w:type="spellStart"/>
      <w:r w:rsidRPr="007F520C">
        <w:rPr>
          <w:rFonts w:asciiTheme="majorHAnsi" w:hAnsiTheme="majorHAnsi" w:cstheme="majorHAnsi"/>
        </w:rPr>
        <w:t>patchcordů</w:t>
      </w:r>
      <w:proofErr w:type="spellEnd"/>
      <w:r w:rsidRPr="007F520C">
        <w:rPr>
          <w:rFonts w:asciiTheme="majorHAnsi" w:hAnsiTheme="majorHAnsi" w:cstheme="majorHAnsi"/>
        </w:rPr>
        <w:t>, držáků a ochranných prvků. Veškeré optické svařování, měření a testování musí být zahrnuto v dodávce.</w:t>
      </w:r>
    </w:p>
    <w:p w14:paraId="4884ADEF" w14:textId="01FB65CF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Součástí dodávky musí být veškeré rackové a montážní prvky pro infrastrukturu </w:t>
      </w:r>
      <w:r w:rsidR="0003122A">
        <w:rPr>
          <w:rFonts w:asciiTheme="majorHAnsi" w:hAnsiTheme="majorHAnsi" w:cstheme="majorHAnsi"/>
        </w:rPr>
        <w:t>automatického skladovacího systému</w:t>
      </w:r>
      <w:r w:rsidRPr="007F520C">
        <w:rPr>
          <w:rFonts w:asciiTheme="majorHAnsi" w:hAnsiTheme="majorHAnsi" w:cstheme="majorHAnsi"/>
        </w:rPr>
        <w:t xml:space="preserve">, včetně patch panelů, datových zásuvek, držáků na PC a monitory, kabelových kanálů, nosných lišt, polic, </w:t>
      </w:r>
      <w:proofErr w:type="spellStart"/>
      <w:r w:rsidRPr="007F520C">
        <w:rPr>
          <w:rFonts w:asciiTheme="majorHAnsi" w:hAnsiTheme="majorHAnsi" w:cstheme="majorHAnsi"/>
        </w:rPr>
        <w:t>hotswap</w:t>
      </w:r>
      <w:proofErr w:type="spellEnd"/>
      <w:r w:rsidRPr="007F520C">
        <w:rPr>
          <w:rFonts w:asciiTheme="majorHAnsi" w:hAnsiTheme="majorHAnsi" w:cstheme="majorHAnsi"/>
        </w:rPr>
        <w:t xml:space="preserve"> / </w:t>
      </w:r>
      <w:proofErr w:type="spellStart"/>
      <w:r w:rsidRPr="007F520C">
        <w:rPr>
          <w:rFonts w:asciiTheme="majorHAnsi" w:hAnsiTheme="majorHAnsi" w:cstheme="majorHAnsi"/>
        </w:rPr>
        <w:t>failover</w:t>
      </w:r>
      <w:proofErr w:type="spellEnd"/>
      <w:r w:rsidRPr="007F520C">
        <w:rPr>
          <w:rFonts w:asciiTheme="majorHAnsi" w:hAnsiTheme="majorHAnsi" w:cstheme="majorHAnsi"/>
        </w:rPr>
        <w:t xml:space="preserve"> racku a veškerého přidruženého instalačního materiálu.</w:t>
      </w:r>
    </w:p>
    <w:p w14:paraId="4884ADF0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Dodavatel musí dodat plný rozsah mechanického příslušenství pro montáž síťových prvků, včetně podpěrných konstrukcí, distančních závěsů a úchytů pro správné umístění Wi-Fi </w:t>
      </w:r>
      <w:proofErr w:type="spellStart"/>
      <w:r w:rsidRPr="007F520C">
        <w:rPr>
          <w:rFonts w:asciiTheme="majorHAnsi" w:hAnsiTheme="majorHAnsi" w:cstheme="majorHAnsi"/>
        </w:rPr>
        <w:t>access</w:t>
      </w:r>
      <w:proofErr w:type="spellEnd"/>
      <w:r w:rsidRPr="007F520C">
        <w:rPr>
          <w:rFonts w:asciiTheme="majorHAnsi" w:hAnsiTheme="majorHAnsi" w:cstheme="majorHAnsi"/>
        </w:rPr>
        <w:t xml:space="preserve"> pointů.</w:t>
      </w:r>
    </w:p>
    <w:p w14:paraId="4884ADF1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Síť musí být navržena v redundantní topologii, s oddělením páteřní a distribuční vrstvy a možností budoucího rozšíření.</w:t>
      </w:r>
    </w:p>
    <w:p w14:paraId="4884ADF2" w14:textId="2DBB75BD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Musí být provedena VLAN segmentace dle typů systémů (např. WMS, </w:t>
      </w:r>
      <w:r w:rsidR="0003122A">
        <w:rPr>
          <w:rFonts w:asciiTheme="majorHAnsi" w:hAnsiTheme="majorHAnsi" w:cstheme="majorHAnsi"/>
        </w:rPr>
        <w:t>automatický skladovací systém</w:t>
      </w:r>
      <w:r w:rsidRPr="007F520C">
        <w:rPr>
          <w:rFonts w:asciiTheme="majorHAnsi" w:hAnsiTheme="majorHAnsi" w:cstheme="majorHAnsi"/>
        </w:rPr>
        <w:t xml:space="preserve">, CCTV, přístupové systémy, </w:t>
      </w:r>
      <w:proofErr w:type="spellStart"/>
      <w:r w:rsidRPr="007F520C">
        <w:rPr>
          <w:rFonts w:asciiTheme="majorHAnsi" w:hAnsiTheme="majorHAnsi" w:cstheme="majorHAnsi"/>
        </w:rPr>
        <w:t>IoT</w:t>
      </w:r>
      <w:proofErr w:type="spellEnd"/>
      <w:r w:rsidRPr="007F520C">
        <w:rPr>
          <w:rFonts w:asciiTheme="majorHAnsi" w:hAnsiTheme="majorHAnsi" w:cstheme="majorHAnsi"/>
        </w:rPr>
        <w:t>).</w:t>
      </w:r>
    </w:p>
    <w:p w14:paraId="4884ADF3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Veškerá komunikace mezi systémy musí být šifrovaná (HTTPS, SSL/TLS, </w:t>
      </w:r>
      <w:proofErr w:type="spellStart"/>
      <w:r w:rsidRPr="007F520C">
        <w:rPr>
          <w:rFonts w:asciiTheme="majorHAnsi" w:hAnsiTheme="majorHAnsi" w:cstheme="majorHAnsi"/>
        </w:rPr>
        <w:t>IPSec</w:t>
      </w:r>
      <w:proofErr w:type="spellEnd"/>
      <w:r w:rsidRPr="007F520C">
        <w:rPr>
          <w:rFonts w:asciiTheme="majorHAnsi" w:hAnsiTheme="majorHAnsi" w:cstheme="majorHAnsi"/>
        </w:rPr>
        <w:t xml:space="preserve"> VPN).</w:t>
      </w:r>
    </w:p>
    <w:p w14:paraId="4884ADF4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Komunikace mezi PLC, SCADA a dalšími technologickými prvky musí probíhat v rámci interní sítě s řízeným a omezeným přístupem.</w:t>
      </w:r>
    </w:p>
    <w:p w14:paraId="4884ADF5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Systém musí umožňovat centrální monitorování dostupnosti, zatížení a provozního stavu sítě prostřednictvím dohledového systému.</w:t>
      </w:r>
    </w:p>
    <w:p w14:paraId="4884ADF6" w14:textId="087F45FF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Musí být zajištěna plná IP integrace všech prvků infrastruktury (</w:t>
      </w:r>
      <w:r w:rsidR="0003122A">
        <w:rPr>
          <w:rFonts w:asciiTheme="majorHAnsi" w:hAnsiTheme="majorHAnsi" w:cstheme="majorHAnsi"/>
        </w:rPr>
        <w:t>automatický skladovací systém</w:t>
      </w:r>
      <w:r w:rsidRPr="007F520C">
        <w:rPr>
          <w:rFonts w:asciiTheme="majorHAnsi" w:hAnsiTheme="majorHAnsi" w:cstheme="majorHAnsi"/>
        </w:rPr>
        <w:t>, dopravníky, SCADA, kamery, servery, NVR, přístupové systémy).</w:t>
      </w:r>
    </w:p>
    <w:p w14:paraId="4884ADF7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Řešení musí podporovat víceuživatelský přístup s definovanými rolemi a oprávněními.</w:t>
      </w:r>
    </w:p>
    <w:p w14:paraId="4884ADF8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Musí být implementováno bezpečné vzdálené připojení prostřednictvím VPN pro administrátory a autorizovanou externí servisní podporu, s řízením přístupových práv.</w:t>
      </w:r>
    </w:p>
    <w:p w14:paraId="4884ADF9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VPN přístup musí podporovat </w:t>
      </w:r>
      <w:proofErr w:type="spellStart"/>
      <w:r w:rsidRPr="007F520C">
        <w:rPr>
          <w:rFonts w:asciiTheme="majorHAnsi" w:hAnsiTheme="majorHAnsi" w:cstheme="majorHAnsi"/>
        </w:rPr>
        <w:t>vícefaktorovou</w:t>
      </w:r>
      <w:proofErr w:type="spellEnd"/>
      <w:r w:rsidRPr="007F520C">
        <w:rPr>
          <w:rFonts w:asciiTheme="majorHAnsi" w:hAnsiTheme="majorHAnsi" w:cstheme="majorHAnsi"/>
        </w:rPr>
        <w:t xml:space="preserve"> autentizaci (MFA), auditní logování všech připojení a geolokační omezení (</w:t>
      </w:r>
      <w:proofErr w:type="spellStart"/>
      <w:r w:rsidRPr="007F520C">
        <w:rPr>
          <w:rFonts w:asciiTheme="majorHAnsi" w:hAnsiTheme="majorHAnsi" w:cstheme="majorHAnsi"/>
        </w:rPr>
        <w:t>whitelist</w:t>
      </w:r>
      <w:proofErr w:type="spellEnd"/>
      <w:r w:rsidRPr="007F520C">
        <w:rPr>
          <w:rFonts w:asciiTheme="majorHAnsi" w:hAnsiTheme="majorHAnsi" w:cstheme="majorHAnsi"/>
        </w:rPr>
        <w:t xml:space="preserve"> povolených zemí).</w:t>
      </w:r>
    </w:p>
    <w:p w14:paraId="4884ADFA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VPN klienti musí být izolováni v samostatných VLAN s řízeným přístupem přes firewall.</w:t>
      </w:r>
    </w:p>
    <w:p w14:paraId="4884ADFB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proofErr w:type="spellStart"/>
      <w:r w:rsidRPr="007F520C">
        <w:rPr>
          <w:rFonts w:asciiTheme="majorHAnsi" w:hAnsiTheme="majorHAnsi" w:cstheme="majorHAnsi"/>
        </w:rPr>
        <w:t>Firewallová</w:t>
      </w:r>
      <w:proofErr w:type="spellEnd"/>
      <w:r w:rsidRPr="007F520C">
        <w:rPr>
          <w:rFonts w:asciiTheme="majorHAnsi" w:hAnsiTheme="majorHAnsi" w:cstheme="majorHAnsi"/>
        </w:rPr>
        <w:t xml:space="preserve"> ochrana sítě musí být realizována prostřednictvím perimetrických zařízení s podporou IDS/IPS, UTM, Web </w:t>
      </w:r>
      <w:proofErr w:type="spellStart"/>
      <w:r w:rsidRPr="007F520C">
        <w:rPr>
          <w:rFonts w:asciiTheme="majorHAnsi" w:hAnsiTheme="majorHAnsi" w:cstheme="majorHAnsi"/>
        </w:rPr>
        <w:t>Filtering</w:t>
      </w:r>
      <w:proofErr w:type="spellEnd"/>
      <w:r w:rsidRPr="007F520C">
        <w:rPr>
          <w:rFonts w:asciiTheme="majorHAnsi" w:hAnsiTheme="majorHAnsi" w:cstheme="majorHAnsi"/>
        </w:rPr>
        <w:t xml:space="preserve">, </w:t>
      </w:r>
      <w:proofErr w:type="spellStart"/>
      <w:r w:rsidRPr="007F520C">
        <w:rPr>
          <w:rFonts w:asciiTheme="majorHAnsi" w:hAnsiTheme="majorHAnsi" w:cstheme="majorHAnsi"/>
        </w:rPr>
        <w:t>Application</w:t>
      </w:r>
      <w:proofErr w:type="spellEnd"/>
      <w:r w:rsidRPr="007F520C">
        <w:rPr>
          <w:rFonts w:asciiTheme="majorHAnsi" w:hAnsiTheme="majorHAnsi" w:cstheme="majorHAnsi"/>
        </w:rPr>
        <w:t xml:space="preserve"> </w:t>
      </w:r>
      <w:proofErr w:type="spellStart"/>
      <w:r w:rsidRPr="007F520C">
        <w:rPr>
          <w:rFonts w:asciiTheme="majorHAnsi" w:hAnsiTheme="majorHAnsi" w:cstheme="majorHAnsi"/>
        </w:rPr>
        <w:t>Control</w:t>
      </w:r>
      <w:proofErr w:type="spellEnd"/>
      <w:r w:rsidRPr="007F520C">
        <w:rPr>
          <w:rFonts w:asciiTheme="majorHAnsi" w:hAnsiTheme="majorHAnsi" w:cstheme="majorHAnsi"/>
        </w:rPr>
        <w:t xml:space="preserve"> a Advanced Malware </w:t>
      </w:r>
      <w:proofErr w:type="spellStart"/>
      <w:r w:rsidRPr="007F520C">
        <w:rPr>
          <w:rFonts w:asciiTheme="majorHAnsi" w:hAnsiTheme="majorHAnsi" w:cstheme="majorHAnsi"/>
        </w:rPr>
        <w:t>Protection</w:t>
      </w:r>
      <w:proofErr w:type="spellEnd"/>
      <w:r w:rsidRPr="007F520C">
        <w:rPr>
          <w:rFonts w:asciiTheme="majorHAnsi" w:hAnsiTheme="majorHAnsi" w:cstheme="majorHAnsi"/>
        </w:rPr>
        <w:t>.</w:t>
      </w:r>
    </w:p>
    <w:p w14:paraId="4884ADFC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IDS/IPS systém musí analyzovat síťový provoz v reálném čase, detekovat a blokovat útoky (</w:t>
      </w:r>
      <w:proofErr w:type="spellStart"/>
      <w:r w:rsidRPr="007F520C">
        <w:rPr>
          <w:rFonts w:asciiTheme="majorHAnsi" w:hAnsiTheme="majorHAnsi" w:cstheme="majorHAnsi"/>
        </w:rPr>
        <w:t>signature-based</w:t>
      </w:r>
      <w:proofErr w:type="spellEnd"/>
      <w:r w:rsidRPr="007F520C">
        <w:rPr>
          <w:rFonts w:asciiTheme="majorHAnsi" w:hAnsiTheme="majorHAnsi" w:cstheme="majorHAnsi"/>
        </w:rPr>
        <w:t xml:space="preserve">, </w:t>
      </w:r>
      <w:proofErr w:type="spellStart"/>
      <w:r w:rsidRPr="007F520C">
        <w:rPr>
          <w:rFonts w:asciiTheme="majorHAnsi" w:hAnsiTheme="majorHAnsi" w:cstheme="majorHAnsi"/>
        </w:rPr>
        <w:t>anomaly-based</w:t>
      </w:r>
      <w:proofErr w:type="spellEnd"/>
      <w:r w:rsidRPr="007F520C">
        <w:rPr>
          <w:rFonts w:asciiTheme="majorHAnsi" w:hAnsiTheme="majorHAnsi" w:cstheme="majorHAnsi"/>
        </w:rPr>
        <w:t xml:space="preserve">, </w:t>
      </w:r>
      <w:proofErr w:type="spellStart"/>
      <w:r w:rsidRPr="007F520C">
        <w:rPr>
          <w:rFonts w:asciiTheme="majorHAnsi" w:hAnsiTheme="majorHAnsi" w:cstheme="majorHAnsi"/>
        </w:rPr>
        <w:t>reputation-based</w:t>
      </w:r>
      <w:proofErr w:type="spellEnd"/>
      <w:r w:rsidRPr="007F520C">
        <w:rPr>
          <w:rFonts w:asciiTheme="majorHAnsi" w:hAnsiTheme="majorHAnsi" w:cstheme="majorHAnsi"/>
        </w:rPr>
        <w:t>).</w:t>
      </w:r>
    </w:p>
    <w:p w14:paraId="4884ADFD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lastRenderedPageBreak/>
        <w:t xml:space="preserve">Síťová infrastruktura musí být pod dohledem systému umožňujícího korelace událostí, </w:t>
      </w:r>
      <w:proofErr w:type="spellStart"/>
      <w:r w:rsidRPr="007F520C">
        <w:rPr>
          <w:rFonts w:asciiTheme="majorHAnsi" w:hAnsiTheme="majorHAnsi" w:cstheme="majorHAnsi"/>
        </w:rPr>
        <w:t>alerty</w:t>
      </w:r>
      <w:proofErr w:type="spellEnd"/>
      <w:r w:rsidRPr="007F520C">
        <w:rPr>
          <w:rFonts w:asciiTheme="majorHAnsi" w:hAnsiTheme="majorHAnsi" w:cstheme="majorHAnsi"/>
        </w:rPr>
        <w:t xml:space="preserve"> a vyhodnocování anomálií.</w:t>
      </w:r>
    </w:p>
    <w:p w14:paraId="4884ADFE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Všechny bezpečnostní události (VPN připojení, přístupové pokusy, útoky, konfigurace) musí být logovány a uchovávány dle zásad NIS2 / ISO 27001 (min. 90 dní online, 1 rok archiv).</w:t>
      </w:r>
    </w:p>
    <w:p w14:paraId="4884ADFF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Síťová infrastruktura musí být chráněna proti zranitelnostem prostřednictvím systému vulnerability &amp; patch managementu.</w:t>
      </w:r>
    </w:p>
    <w:p w14:paraId="4884AE00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Dodavatel musí zajistit pravidelné skenování, vyhodnocování a správu zranitelností v rámci definované metodiky (CVSS </w:t>
      </w:r>
      <w:proofErr w:type="spellStart"/>
      <w:r w:rsidRPr="007F520C">
        <w:rPr>
          <w:rFonts w:asciiTheme="majorHAnsi" w:hAnsiTheme="majorHAnsi" w:cstheme="majorHAnsi"/>
        </w:rPr>
        <w:t>scoring</w:t>
      </w:r>
      <w:proofErr w:type="spellEnd"/>
      <w:r w:rsidRPr="007F520C">
        <w:rPr>
          <w:rFonts w:asciiTheme="majorHAnsi" w:hAnsiTheme="majorHAnsi" w:cstheme="majorHAnsi"/>
        </w:rPr>
        <w:t>).</w:t>
      </w:r>
    </w:p>
    <w:p w14:paraId="4884AE01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Dodávané řešení musí být v souladu s požadavky na kybernetickou ochranu dle směrnice NIS2.</w:t>
      </w:r>
    </w:p>
    <w:p w14:paraId="4884AE02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Komunikace mezi servery, přístupovými systémy a koncovými zařízeními musí být realizována pouze bezpečnými protokoly (HTTPS, SSHv2, SNMPv3).</w:t>
      </w:r>
    </w:p>
    <w:p w14:paraId="4884AE03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Musí být zajištěna centrální správa certifikátů, včetně jejich pravidelné rotace.</w:t>
      </w:r>
    </w:p>
    <w:p w14:paraId="4884AE04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Musí být zajištěn pravidelný sken zranitelností celé infrastruktury.</w:t>
      </w:r>
    </w:p>
    <w:p w14:paraId="4884AE05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Skenování musí vyhodnocovat zranitelnosti podle CVSS </w:t>
      </w:r>
      <w:proofErr w:type="spellStart"/>
      <w:r w:rsidRPr="007F520C">
        <w:rPr>
          <w:rFonts w:asciiTheme="majorHAnsi" w:hAnsiTheme="majorHAnsi" w:cstheme="majorHAnsi"/>
        </w:rPr>
        <w:t>scoringu</w:t>
      </w:r>
      <w:proofErr w:type="spellEnd"/>
      <w:r w:rsidRPr="007F520C">
        <w:rPr>
          <w:rFonts w:asciiTheme="majorHAnsi" w:hAnsiTheme="majorHAnsi" w:cstheme="majorHAnsi"/>
        </w:rPr>
        <w:t xml:space="preserve"> (</w:t>
      </w:r>
      <w:proofErr w:type="spellStart"/>
      <w:r w:rsidRPr="007F520C">
        <w:rPr>
          <w:rFonts w:asciiTheme="majorHAnsi" w:hAnsiTheme="majorHAnsi" w:cstheme="majorHAnsi"/>
        </w:rPr>
        <w:t>Critical</w:t>
      </w:r>
      <w:proofErr w:type="spellEnd"/>
      <w:r w:rsidRPr="007F520C">
        <w:rPr>
          <w:rFonts w:asciiTheme="majorHAnsi" w:hAnsiTheme="majorHAnsi" w:cstheme="majorHAnsi"/>
        </w:rPr>
        <w:t xml:space="preserve"> / High / Medium / </w:t>
      </w:r>
      <w:proofErr w:type="spellStart"/>
      <w:r w:rsidRPr="007F520C">
        <w:rPr>
          <w:rFonts w:asciiTheme="majorHAnsi" w:hAnsiTheme="majorHAnsi" w:cstheme="majorHAnsi"/>
        </w:rPr>
        <w:t>Low</w:t>
      </w:r>
      <w:proofErr w:type="spellEnd"/>
      <w:r w:rsidRPr="007F520C">
        <w:rPr>
          <w:rFonts w:asciiTheme="majorHAnsi" w:hAnsiTheme="majorHAnsi" w:cstheme="majorHAnsi"/>
        </w:rPr>
        <w:t>) a vytvářet přehledné reporty s doporučením nápravných opatření.</w:t>
      </w:r>
    </w:p>
    <w:p w14:paraId="4884AE06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Kritické a vysoké zranitelnosti musí být automaticky eskalovány administrátorům prostřednictvím </w:t>
      </w:r>
      <w:proofErr w:type="spellStart"/>
      <w:r w:rsidRPr="007F520C">
        <w:rPr>
          <w:rFonts w:asciiTheme="majorHAnsi" w:hAnsiTheme="majorHAnsi" w:cstheme="majorHAnsi"/>
        </w:rPr>
        <w:t>alertů</w:t>
      </w:r>
      <w:proofErr w:type="spellEnd"/>
      <w:r w:rsidRPr="007F520C">
        <w:rPr>
          <w:rFonts w:asciiTheme="majorHAnsi" w:hAnsiTheme="majorHAnsi" w:cstheme="majorHAnsi"/>
        </w:rPr>
        <w:t xml:space="preserve"> (e-mail, SIEM, </w:t>
      </w:r>
      <w:proofErr w:type="spellStart"/>
      <w:r w:rsidRPr="007F520C">
        <w:rPr>
          <w:rFonts w:asciiTheme="majorHAnsi" w:hAnsiTheme="majorHAnsi" w:cstheme="majorHAnsi"/>
        </w:rPr>
        <w:t>ticketing</w:t>
      </w:r>
      <w:proofErr w:type="spellEnd"/>
      <w:r w:rsidRPr="007F520C">
        <w:rPr>
          <w:rFonts w:asciiTheme="majorHAnsi" w:hAnsiTheme="majorHAnsi" w:cstheme="majorHAnsi"/>
        </w:rPr>
        <w:t>).</w:t>
      </w:r>
    </w:p>
    <w:p w14:paraId="4884AE07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Součástí řešení musí být patch management, který zajistí nasazení aktualizací softwaru, firmware a bezpečnostních záplat v definovaných intervalech.</w:t>
      </w:r>
    </w:p>
    <w:p w14:paraId="4884AE08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Dodavatel musí zajistit evidenci zranitelností, sledování trendů a pravidelné vyhodnocování úrovně bezpečnosti infrastruktury.</w:t>
      </w:r>
    </w:p>
    <w:p w14:paraId="4884AE09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Musí být zajištěna historie nálezů a jejich řešení (auditní stopa pro účely NIS2 a interních auditů).</w:t>
      </w:r>
    </w:p>
    <w:p w14:paraId="4884AE0A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Systém musí umožňovat kontrolu integrity konfigurace (</w:t>
      </w:r>
      <w:proofErr w:type="spellStart"/>
      <w:r w:rsidRPr="007F520C">
        <w:rPr>
          <w:rFonts w:asciiTheme="majorHAnsi" w:hAnsiTheme="majorHAnsi" w:cstheme="majorHAnsi"/>
        </w:rPr>
        <w:t>Configuration</w:t>
      </w:r>
      <w:proofErr w:type="spellEnd"/>
      <w:r w:rsidRPr="007F520C">
        <w:rPr>
          <w:rFonts w:asciiTheme="majorHAnsi" w:hAnsiTheme="majorHAnsi" w:cstheme="majorHAnsi"/>
        </w:rPr>
        <w:t xml:space="preserve"> </w:t>
      </w:r>
      <w:proofErr w:type="spellStart"/>
      <w:r w:rsidRPr="007F520C">
        <w:rPr>
          <w:rFonts w:asciiTheme="majorHAnsi" w:hAnsiTheme="majorHAnsi" w:cstheme="majorHAnsi"/>
        </w:rPr>
        <w:t>Compliance</w:t>
      </w:r>
      <w:proofErr w:type="spellEnd"/>
      <w:r w:rsidRPr="007F520C">
        <w:rPr>
          <w:rFonts w:asciiTheme="majorHAnsi" w:hAnsiTheme="majorHAnsi" w:cstheme="majorHAnsi"/>
        </w:rPr>
        <w:t>), aby nedocházelo k odchylkám od bezpečnostních standardů.</w:t>
      </w:r>
    </w:p>
    <w:p w14:paraId="4884AE0B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Dodavatel musí poskytnout úvodní </w:t>
      </w:r>
      <w:proofErr w:type="spellStart"/>
      <w:r w:rsidRPr="007F520C">
        <w:rPr>
          <w:rFonts w:asciiTheme="majorHAnsi" w:hAnsiTheme="majorHAnsi" w:cstheme="majorHAnsi"/>
        </w:rPr>
        <w:t>baseline</w:t>
      </w:r>
      <w:proofErr w:type="spellEnd"/>
      <w:r w:rsidRPr="007F520C">
        <w:rPr>
          <w:rFonts w:asciiTheme="majorHAnsi" w:hAnsiTheme="majorHAnsi" w:cstheme="majorHAnsi"/>
        </w:rPr>
        <w:t xml:space="preserve"> scan po nasazení celé infrastruktury a následné periodické skeny po dobu podpory.</w:t>
      </w:r>
    </w:p>
    <w:p w14:paraId="4884AE0C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 xml:space="preserve">Dodavatel musí zajistit školení uživatelů a administrátorů v oblasti kybernetické bezpečnosti, zaměřené zejména na bezpečné chování v síti, ochranu přístupových údajů, rozpoznávání </w:t>
      </w:r>
      <w:proofErr w:type="spellStart"/>
      <w:r w:rsidRPr="007F520C">
        <w:rPr>
          <w:rFonts w:asciiTheme="majorHAnsi" w:hAnsiTheme="majorHAnsi" w:cstheme="majorHAnsi"/>
        </w:rPr>
        <w:t>phishingu</w:t>
      </w:r>
      <w:proofErr w:type="spellEnd"/>
      <w:r w:rsidRPr="007F520C">
        <w:rPr>
          <w:rFonts w:asciiTheme="majorHAnsi" w:hAnsiTheme="majorHAnsi" w:cstheme="majorHAnsi"/>
        </w:rPr>
        <w:t xml:space="preserve"> a postupy při incidentu.</w:t>
      </w:r>
    </w:p>
    <w:p w14:paraId="4884AE0D" w14:textId="77777777" w:rsidR="00A10D67" w:rsidRPr="007F520C" w:rsidRDefault="00F619C6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7F520C">
        <w:rPr>
          <w:rFonts w:asciiTheme="majorHAnsi" w:hAnsiTheme="majorHAnsi" w:cstheme="majorHAnsi"/>
        </w:rPr>
        <w:t>Součástí dodávky musí být také bezpečnostní manuál shrnující klíčová pravidla a doporučení pro práci s interní infrastrukturou.</w:t>
      </w:r>
    </w:p>
    <w:p w14:paraId="4884AE0E" w14:textId="77777777" w:rsidR="00A10D67" w:rsidRPr="007F520C" w:rsidRDefault="00A10D67">
      <w:pPr>
        <w:spacing w:line="276" w:lineRule="auto"/>
        <w:jc w:val="both"/>
        <w:rPr>
          <w:rFonts w:asciiTheme="majorHAnsi" w:hAnsiTheme="majorHAnsi" w:cstheme="majorHAnsi"/>
        </w:rPr>
      </w:pPr>
    </w:p>
    <w:p w14:paraId="4884AE0F" w14:textId="77777777" w:rsidR="00A10D67" w:rsidRPr="007F520C" w:rsidRDefault="00A10D67">
      <w:pPr>
        <w:spacing w:before="120" w:after="120" w:line="276" w:lineRule="auto"/>
        <w:rPr>
          <w:rFonts w:asciiTheme="majorHAnsi" w:hAnsiTheme="majorHAnsi" w:cstheme="majorHAnsi"/>
        </w:rPr>
      </w:pPr>
    </w:p>
    <w:sectPr w:rsidR="00A10D67" w:rsidRPr="007F520C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D05DF" w14:textId="77777777" w:rsidR="00AB54E4" w:rsidRDefault="00AB54E4">
      <w:pPr>
        <w:spacing w:after="0" w:line="240" w:lineRule="auto"/>
      </w:pPr>
      <w:r>
        <w:separator/>
      </w:r>
    </w:p>
  </w:endnote>
  <w:endnote w:type="continuationSeparator" w:id="0">
    <w:p w14:paraId="14E4F153" w14:textId="77777777" w:rsidR="00AB54E4" w:rsidRDefault="00AB5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C99DC4D-0C15-4DDF-9849-2FDFB4CF4BEC}"/>
    <w:embedBold r:id="rId2" w:fontKey="{80B45E3C-EDC0-4F49-8A00-F0433DADCFE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970EF1C4-A99E-4A71-B1C1-C965F2C643AA}"/>
    <w:embedBold r:id="rId4" w:fontKey="{FC697714-4E90-451E-AA4C-467B194155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9551B7C6-79AC-47D5-B858-B92BE03A622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4BE063B2-BD1A-4FEA-8EE1-3E44478B1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4AE10" w14:textId="77777777" w:rsidR="00A10D67" w:rsidRDefault="00A10D6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</w:p>
  <w:p w14:paraId="4884AE11" w14:textId="73DFDD45" w:rsidR="00A10D67" w:rsidRDefault="00F619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sz w:val="20"/>
        <w:szCs w:val="20"/>
      </w:rPr>
    </w:pPr>
    <w:r>
      <w:rPr>
        <w:color w:val="000000"/>
        <w:sz w:val="20"/>
        <w:szCs w:val="20"/>
      </w:rPr>
      <w:t>Technická specifikace předmětu veřejné zakázky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C7B06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4AE13" w14:textId="77777777" w:rsidR="00A10D67" w:rsidRDefault="00F619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884AE16" wp14:editId="4884AE17">
          <wp:simplePos x="0" y="0"/>
          <wp:positionH relativeFrom="column">
            <wp:posOffset>1832032</wp:posOffset>
          </wp:positionH>
          <wp:positionV relativeFrom="paragraph">
            <wp:posOffset>-285749</wp:posOffset>
          </wp:positionV>
          <wp:extent cx="2096655" cy="873375"/>
          <wp:effectExtent l="0" t="0" r="0" b="0"/>
          <wp:wrapSquare wrapText="bothSides" distT="0" distB="0" distL="114300" distR="114300"/>
          <wp:docPr id="145103718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6655" cy="87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8DE34" w14:textId="77777777" w:rsidR="00AB54E4" w:rsidRDefault="00AB54E4">
      <w:pPr>
        <w:spacing w:after="0" w:line="240" w:lineRule="auto"/>
      </w:pPr>
      <w:r>
        <w:separator/>
      </w:r>
    </w:p>
  </w:footnote>
  <w:footnote w:type="continuationSeparator" w:id="0">
    <w:p w14:paraId="58F184EA" w14:textId="77777777" w:rsidR="00AB54E4" w:rsidRDefault="00AB5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4AE12" w14:textId="77777777" w:rsidR="00A10D67" w:rsidRDefault="00F619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4884AE14" wp14:editId="4884AE15">
          <wp:simplePos x="0" y="0"/>
          <wp:positionH relativeFrom="page">
            <wp:posOffset>899794</wp:posOffset>
          </wp:positionH>
          <wp:positionV relativeFrom="page">
            <wp:posOffset>448945</wp:posOffset>
          </wp:positionV>
          <wp:extent cx="1943100" cy="433070"/>
          <wp:effectExtent l="0" t="0" r="0" b="0"/>
          <wp:wrapNone/>
          <wp:docPr id="1451037180" name="image2.png" descr="Obsah obrázku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sah obrázku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33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469E4"/>
    <w:multiLevelType w:val="multilevel"/>
    <w:tmpl w:val="5CCE9D6E"/>
    <w:lvl w:ilvl="0">
      <w:start w:val="1"/>
      <w:numFmt w:val="decimal"/>
      <w:pStyle w:val="Odstavecsesezname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50A2A12"/>
    <w:multiLevelType w:val="multilevel"/>
    <w:tmpl w:val="0400C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78379745">
    <w:abstractNumId w:val="1"/>
  </w:num>
  <w:num w:numId="2" w16cid:durableId="11763548">
    <w:abstractNumId w:val="0"/>
  </w:num>
  <w:num w:numId="3" w16cid:durableId="13798626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844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Q7qmzK24v8oTbAA9ZCEtYuHdBNe07IkyOhTbdW0uMcfs01TQG9B2wXPW2o2BHvK1yq/XvIBfPqtRx5sYSRQKUw==" w:salt="mv6qwlFxs9DI+tJ601BLS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D67"/>
    <w:rsid w:val="0003122A"/>
    <w:rsid w:val="000D3563"/>
    <w:rsid w:val="002321F4"/>
    <w:rsid w:val="002B2395"/>
    <w:rsid w:val="00345D13"/>
    <w:rsid w:val="003F7845"/>
    <w:rsid w:val="004B04B2"/>
    <w:rsid w:val="007C14B3"/>
    <w:rsid w:val="007F520C"/>
    <w:rsid w:val="00863DAA"/>
    <w:rsid w:val="008C7B06"/>
    <w:rsid w:val="009535AE"/>
    <w:rsid w:val="009B2BEE"/>
    <w:rsid w:val="00A10D67"/>
    <w:rsid w:val="00A208DF"/>
    <w:rsid w:val="00A72ADD"/>
    <w:rsid w:val="00AB54E4"/>
    <w:rsid w:val="00EE3539"/>
    <w:rsid w:val="00F6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4ADC2"/>
  <w15:docId w15:val="{13CE3E0F-055B-431B-BCD1-D92FB63C5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240"/>
      <w:ind w:left="720" w:hanging="360"/>
      <w:outlineLvl w:val="0"/>
    </w:pPr>
    <w:rPr>
      <w:b/>
      <w:bCs/>
      <w:color w:val="2E75B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spacing w:after="0" w:line="240" w:lineRule="auto"/>
      <w:ind w:left="426"/>
      <w:jc w:val="both"/>
      <w:outlineLvl w:val="3"/>
    </w:pPr>
    <w:rPr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4"/>
    </w:pPr>
    <w:rPr>
      <w:color w:val="2E75B5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  <w:jc w:val="center"/>
    </w:pPr>
    <w:rPr>
      <w:b/>
      <w:bCs/>
      <w:sz w:val="72"/>
      <w:szCs w:val="72"/>
    </w:rPr>
  </w:style>
  <w:style w:type="character" w:customStyle="1" w:styleId="Nadpis1Char">
    <w:name w:val="Nadpis 1 Char"/>
    <w:aliases w:val="Clanek1_ZD Char"/>
    <w:basedOn w:val="Standardnpsmoodstavce"/>
    <w:uiPriority w:val="99"/>
    <w:rsid w:val="00C01C47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"/>
    <w:rsid w:val="002C47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uiPriority w:val="9"/>
    <w:rsid w:val="002C47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zevChar">
    <w:name w:val="Název Char"/>
    <w:basedOn w:val="Standardnpsmoodstavce"/>
    <w:uiPriority w:val="10"/>
    <w:rsid w:val="002C4725"/>
    <w:rPr>
      <w:rFonts w:asciiTheme="majorHAnsi" w:eastAsiaTheme="majorEastAsia" w:hAnsiTheme="majorHAnsi" w:cstheme="majorHAnsi"/>
      <w:b/>
      <w:spacing w:val="-10"/>
      <w:kern w:val="28"/>
      <w:sz w:val="72"/>
      <w:szCs w:val="72"/>
    </w:rPr>
  </w:style>
  <w:style w:type="character" w:customStyle="1" w:styleId="PodnadpisChar">
    <w:name w:val="Podnadpis Char"/>
    <w:basedOn w:val="Standardnpsmoodstavce"/>
    <w:uiPriority w:val="11"/>
    <w:rsid w:val="002C4725"/>
    <w:rPr>
      <w:rFonts w:eastAsiaTheme="minorEastAsia"/>
      <w:color w:val="5A5A5A" w:themeColor="text1" w:themeTint="A5"/>
      <w:spacing w:val="15"/>
    </w:rPr>
  </w:style>
  <w:style w:type="paragraph" w:styleId="Zhlav">
    <w:name w:val="header"/>
    <w:link w:val="Zhlav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4725"/>
  </w:style>
  <w:style w:type="paragraph" w:styleId="Zpat">
    <w:name w:val="footer"/>
    <w:link w:val="Zpat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4725"/>
  </w:style>
  <w:style w:type="character" w:styleId="Zdraznnjemn">
    <w:name w:val="Subtle Emphasis"/>
    <w:basedOn w:val="Standardnpsmoodstavce"/>
    <w:uiPriority w:val="19"/>
    <w:qFormat/>
    <w:rsid w:val="00827468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827468"/>
    <w:rPr>
      <w:b/>
      <w:bCs/>
    </w:rPr>
  </w:style>
  <w:style w:type="table" w:styleId="Mkatabulky">
    <w:name w:val="Table Grid"/>
    <w:basedOn w:val="Normlntabulka"/>
    <w:uiPriority w:val="99"/>
    <w:rsid w:val="00BF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link w:val="TextbublinyChar"/>
    <w:uiPriority w:val="99"/>
    <w:semiHidden/>
    <w:unhideWhenUsed/>
    <w:rsid w:val="00791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3D3"/>
    <w:rPr>
      <w:rFonts w:ascii="Segoe UI" w:hAnsi="Segoe UI" w:cs="Segoe UI"/>
      <w:sz w:val="18"/>
      <w:szCs w:val="18"/>
    </w:rPr>
  </w:style>
  <w:style w:type="character" w:styleId="Odkaznakoment">
    <w:name w:val="annotation reference"/>
    <w:uiPriority w:val="99"/>
    <w:rsid w:val="00082C5A"/>
    <w:rPr>
      <w:sz w:val="16"/>
      <w:szCs w:val="16"/>
    </w:rPr>
  </w:style>
  <w:style w:type="paragraph" w:styleId="Textkomente">
    <w:name w:val="annotation text"/>
    <w:link w:val="TextkomenteChar"/>
    <w:rsid w:val="00082C5A"/>
    <w:pPr>
      <w:spacing w:before="120" w:after="0" w:line="240" w:lineRule="auto"/>
      <w:outlineLvl w:val="1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rsid w:val="00082C5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Nadpisobsahu">
    <w:name w:val="TOC Heading"/>
    <w:uiPriority w:val="39"/>
    <w:unhideWhenUsed/>
    <w:rsid w:val="007F73AC"/>
    <w:pPr>
      <w:spacing w:after="0"/>
    </w:pPr>
  </w:style>
  <w:style w:type="paragraph" w:styleId="Obsah1">
    <w:name w:val="toc 1"/>
    <w:autoRedefine/>
    <w:uiPriority w:val="39"/>
    <w:unhideWhenUsed/>
    <w:rsid w:val="00722CDE"/>
    <w:pPr>
      <w:tabs>
        <w:tab w:val="left" w:pos="1276"/>
        <w:tab w:val="right" w:pos="9062"/>
      </w:tabs>
      <w:spacing w:after="100"/>
    </w:pPr>
  </w:style>
  <w:style w:type="paragraph" w:styleId="Obsah2">
    <w:name w:val="toc 2"/>
    <w:autoRedefine/>
    <w:uiPriority w:val="39"/>
    <w:unhideWhenUsed/>
    <w:rsid w:val="007F73AC"/>
    <w:pPr>
      <w:spacing w:after="100"/>
      <w:ind w:left="220"/>
    </w:pPr>
  </w:style>
  <w:style w:type="paragraph" w:styleId="Obsah3">
    <w:name w:val="toc 3"/>
    <w:autoRedefine/>
    <w:uiPriority w:val="39"/>
    <w:unhideWhenUsed/>
    <w:rsid w:val="007F73AC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7F73AC"/>
    <w:rPr>
      <w:color w:val="0563C1" w:themeColor="hyperlink"/>
      <w:u w:val="single"/>
    </w:rPr>
  </w:style>
  <w:style w:type="paragraph" w:styleId="Odstavecseseznamem">
    <w:name w:val="List Paragraph"/>
    <w:link w:val="OdstavecseseznamemChar"/>
    <w:uiPriority w:val="34"/>
    <w:qFormat/>
    <w:rsid w:val="004524C6"/>
    <w:pPr>
      <w:numPr>
        <w:numId w:val="2"/>
      </w:numPr>
      <w:spacing w:before="120" w:after="120" w:line="240" w:lineRule="auto"/>
      <w:contextualSpacing/>
      <w:jc w:val="both"/>
      <w:outlineLvl w:val="1"/>
    </w:pPr>
    <w:rPr>
      <w:rFonts w:cstheme="minorHAnsi"/>
    </w:rPr>
  </w:style>
  <w:style w:type="paragraph" w:customStyle="1" w:styleId="Bezmezer1">
    <w:name w:val="Bez mezer1"/>
    <w:rsid w:val="00C70411"/>
    <w:pPr>
      <w:tabs>
        <w:tab w:val="left" w:pos="1105"/>
      </w:tabs>
      <w:suppressAutoHyphens/>
      <w:spacing w:after="0" w:line="240" w:lineRule="auto"/>
      <w:ind w:left="397"/>
      <w:jc w:val="both"/>
    </w:pPr>
    <w:rPr>
      <w:rFonts w:cstheme="minorHAnsi"/>
      <w:color w:val="00000A"/>
      <w:kern w:val="1"/>
    </w:rPr>
  </w:style>
  <w:style w:type="numbering" w:customStyle="1" w:styleId="Zadavacka1">
    <w:name w:val="Zadavacka1"/>
    <w:uiPriority w:val="99"/>
    <w:rsid w:val="00AF25BE"/>
  </w:style>
  <w:style w:type="character" w:customStyle="1" w:styleId="Nadpis4Char">
    <w:name w:val="Nadpis 4 Char"/>
    <w:basedOn w:val="Standardnpsmoodstavce"/>
    <w:uiPriority w:val="99"/>
    <w:rsid w:val="00C70411"/>
    <w:rPr>
      <w:rFonts w:asciiTheme="majorHAnsi" w:eastAsia="Calibri" w:hAnsiTheme="majorHAnsi" w:cstheme="majorHAnsi"/>
      <w:lang w:val="x-none"/>
    </w:rPr>
  </w:style>
  <w:style w:type="paragraph" w:customStyle="1" w:styleId="Odstavecspsmeny">
    <w:name w:val="Odstavec s písmeny"/>
    <w:qFormat/>
    <w:rsid w:val="004524C6"/>
    <w:pPr>
      <w:tabs>
        <w:tab w:val="num" w:pos="720"/>
      </w:tabs>
      <w:ind w:left="1134" w:hanging="425"/>
    </w:pPr>
  </w:style>
  <w:style w:type="character" w:customStyle="1" w:styleId="Nadpis5Char">
    <w:name w:val="Nadpis 5 Char"/>
    <w:basedOn w:val="Standardnpsmoodstavce"/>
    <w:uiPriority w:val="9"/>
    <w:rsid w:val="00C7041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poznpodarou">
    <w:name w:val="footnote text"/>
    <w:link w:val="TextpoznpodarouChar"/>
    <w:uiPriority w:val="99"/>
    <w:semiHidden/>
    <w:unhideWhenUsed/>
    <w:rsid w:val="00BA141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A141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A141F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5CDF"/>
    <w:pPr>
      <w:spacing w:before="0" w:after="160"/>
      <w:outlineLvl w:val="9"/>
    </w:pPr>
    <w:rPr>
      <w:rFonts w:asciiTheme="minorHAnsi" w:eastAsiaTheme="minorHAnsi" w:hAnsiTheme="minorHAnsi" w:cstheme="minorBidi"/>
      <w:b/>
      <w:bCs/>
      <w:lang w:val="cs-CZ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5CD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OdstavecseseznamemChar">
    <w:name w:val="Odstavec se seznamem Char"/>
    <w:link w:val="Odstavecseseznamem"/>
    <w:uiPriority w:val="34"/>
    <w:rsid w:val="009974C4"/>
    <w:rPr>
      <w:rFonts w:eastAsia="Calibri" w:cstheme="minorHAnsi"/>
    </w:rPr>
  </w:style>
  <w:style w:type="character" w:styleId="Zstupntext">
    <w:name w:val="Placeholder Text"/>
    <w:basedOn w:val="Standardnpsmoodstavce"/>
    <w:uiPriority w:val="99"/>
    <w:semiHidden/>
    <w:rsid w:val="00B067DF"/>
    <w:rPr>
      <w:color w:val="808080"/>
    </w:rPr>
  </w:style>
  <w:style w:type="table" w:customStyle="1" w:styleId="Mkatabulky1">
    <w:name w:val="Mřížka tabulky1"/>
    <w:basedOn w:val="Normlntabulka"/>
    <w:next w:val="Mkatabulky"/>
    <w:uiPriority w:val="99"/>
    <w:rsid w:val="00B067DF"/>
    <w:pPr>
      <w:spacing w:after="0" w:line="240" w:lineRule="auto"/>
      <w:jc w:val="both"/>
    </w:pPr>
    <w:rPr>
      <w:rFonts w:ascii="Arial Narrow" w:eastAsia="Times New Roman" w:hAnsi="Arial Narrow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od2rove">
    <w:name w:val="Text pod 2. úroveň"/>
    <w:qFormat/>
    <w:rsid w:val="00B067DF"/>
    <w:pPr>
      <w:spacing w:after="120" w:line="240" w:lineRule="auto"/>
      <w:ind w:left="1956" w:hanging="425"/>
      <w:jc w:val="both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Odrky">
    <w:name w:val="Odrážky"/>
    <w:aliases w:val="2. úroveň"/>
    <w:qFormat/>
    <w:rsid w:val="00B067DF"/>
    <w:pPr>
      <w:spacing w:before="120" w:after="120" w:line="240" w:lineRule="auto"/>
      <w:ind w:left="1224" w:hanging="504"/>
      <w:jc w:val="both"/>
    </w:pPr>
    <w:rPr>
      <w:rFonts w:ascii="Arial Narrow" w:eastAsia="Times New Roman" w:hAnsi="Arial Narrow" w:cs="Times New Roman"/>
    </w:rPr>
  </w:style>
  <w:style w:type="paragraph" w:styleId="Podnadpis">
    <w:name w:val="Subtitle"/>
    <w:basedOn w:val="Normln"/>
    <w:next w:val="Normln"/>
    <w:uiPriority w:val="11"/>
    <w:qFormat/>
    <w:pPr>
      <w:spacing w:before="240"/>
      <w:jc w:val="center"/>
    </w:pPr>
    <w:rPr>
      <w:color w:val="5A5A5A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ze">
    <w:name w:val="Revision"/>
    <w:hidden/>
    <w:uiPriority w:val="99"/>
    <w:semiHidden/>
    <w:rsid w:val="00345D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ttEJkoN6roL8RBA6/Knspwa+Zg==">CgMxLjA4AHIhMS1tc1NqSUxIWG8xNjhEVVNpeTRLcndNQ0VvX0pxdkdi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991</Words>
  <Characters>5850</Characters>
  <Application>Microsoft Office Word</Application>
  <DocSecurity>8</DocSecurity>
  <Lines>48</Lines>
  <Paragraphs>13</Paragraphs>
  <ScaleCrop>false</ScaleCrop>
  <Company/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Ing., Bc. Iveta Prášková</dc:creator>
  <cp:lastModifiedBy>Roman Bielak</cp:lastModifiedBy>
  <cp:revision>5</cp:revision>
  <dcterms:created xsi:type="dcterms:W3CDTF">2025-12-02T11:53:00Z</dcterms:created>
  <dcterms:modified xsi:type="dcterms:W3CDTF">2025-12-03T10:27:00Z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0x0101008C29A8566905EE43B27BE3EB837E23D1</vt:lpwstr>
  </property>
  <property fmtid="{D5CDD505-2E9C-101B-9397-08002B2CF9AE}" pid="3" name="MediaServiceImageTags">
    <vt:lpwstr/>
  </property>
</Properties>
</file>