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B6" w:rsidRDefault="00A432B6" w:rsidP="00A432B6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</w:p>
    <w:p w:rsidR="00A432B6" w:rsidRDefault="00A432B6" w:rsidP="00A432B6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</w:p>
    <w:p w:rsidR="00A432B6" w:rsidRPr="00D2527B" w:rsidRDefault="00A432B6" w:rsidP="00A432B6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>
        <w:rPr>
          <w:rFonts w:ascii="Calibri" w:hAnsi="Calibri"/>
          <w:b/>
          <w:sz w:val="40"/>
          <w:szCs w:val="40"/>
        </w:rPr>
        <w:t>7</w:t>
      </w:r>
    </w:p>
    <w:p w:rsidR="00A432B6" w:rsidRPr="00D63DB7" w:rsidRDefault="00A432B6" w:rsidP="00A432B6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A432B6" w:rsidRPr="00D63DB7" w:rsidRDefault="00A432B6" w:rsidP="00A432B6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>
        <w:rPr>
          <w:rFonts w:ascii="Calibri" w:hAnsi="Calibri"/>
          <w:b/>
          <w:color w:val="auto"/>
          <w:sz w:val="40"/>
          <w:szCs w:val="40"/>
        </w:rPr>
        <w:t>ZÁKLADNÍ PODMÍNKY PROVÁDĚNÍ STAVEBNÍCH PRACÍ</w:t>
      </w:r>
    </w:p>
    <w:p w:rsidR="00A432B6" w:rsidRPr="00A432B6" w:rsidRDefault="00A432B6" w:rsidP="00A432B6">
      <w:pPr>
        <w:pStyle w:val="Podtitul"/>
        <w:spacing w:before="0"/>
        <w:ind w:left="0"/>
        <w:rPr>
          <w:rStyle w:val="Siln"/>
          <w:rFonts w:asciiTheme="minorHAnsi" w:hAnsiTheme="minorHAnsi"/>
          <w:sz w:val="22"/>
          <w:szCs w:val="22"/>
        </w:rPr>
      </w:pPr>
      <w:r w:rsidRPr="00A432B6">
        <w:rPr>
          <w:rStyle w:val="Siln"/>
          <w:rFonts w:asciiTheme="minorHAnsi" w:hAnsiTheme="minorHAnsi"/>
          <w:b w:val="0"/>
          <w:sz w:val="22"/>
          <w:szCs w:val="22"/>
        </w:rPr>
        <w:t>k zakázce na</w:t>
      </w:r>
      <w:r w:rsidRPr="00A432B6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A432B6">
        <w:rPr>
          <w:rFonts w:asciiTheme="minorHAnsi" w:hAnsiTheme="minorHAnsi"/>
          <w:sz w:val="22"/>
          <w:szCs w:val="22"/>
        </w:rPr>
        <w:t>stavební práce s</w:t>
      </w:r>
      <w:r w:rsidRPr="00A432B6">
        <w:rPr>
          <w:rFonts w:asciiTheme="minorHAnsi" w:hAnsiTheme="minorHAnsi"/>
          <w:i/>
          <w:sz w:val="22"/>
          <w:szCs w:val="22"/>
        </w:rPr>
        <w:t xml:space="preserve"> </w:t>
      </w:r>
      <w:r w:rsidRPr="00A432B6">
        <w:rPr>
          <w:rStyle w:val="Siln"/>
          <w:rFonts w:asciiTheme="minorHAnsi" w:hAnsiTheme="minorHAnsi"/>
          <w:b w:val="0"/>
          <w:sz w:val="22"/>
          <w:szCs w:val="22"/>
        </w:rPr>
        <w:t>názvem</w:t>
      </w:r>
      <w:r w:rsidRPr="00A432B6">
        <w:rPr>
          <w:rStyle w:val="Siln"/>
          <w:rFonts w:asciiTheme="minorHAnsi" w:hAnsiTheme="minorHAnsi"/>
          <w:sz w:val="22"/>
          <w:szCs w:val="22"/>
        </w:rPr>
        <w:t>:</w:t>
      </w:r>
    </w:p>
    <w:p w:rsidR="00A432B6" w:rsidRPr="00D56720" w:rsidRDefault="00A432B6" w:rsidP="00A432B6">
      <w:pPr>
        <w:spacing w:after="360"/>
        <w:jc w:val="center"/>
        <w:rPr>
          <w:rFonts w:asciiTheme="minorHAnsi" w:hAnsiTheme="minorHAnsi"/>
          <w:b/>
          <w:bCs/>
          <w:sz w:val="44"/>
          <w:szCs w:val="48"/>
        </w:rPr>
      </w:pPr>
      <w:r w:rsidRPr="00D56720">
        <w:rPr>
          <w:rFonts w:asciiTheme="minorHAnsi" w:hAnsiTheme="minorHAnsi"/>
          <w:b/>
          <w:bCs/>
          <w:sz w:val="44"/>
          <w:szCs w:val="48"/>
        </w:rPr>
        <w:t xml:space="preserve">„Rekonstrukce obvodového a střešního pláště v areálu NELI </w:t>
      </w:r>
      <w:proofErr w:type="spellStart"/>
      <w:r w:rsidRPr="00D56720">
        <w:rPr>
          <w:rFonts w:asciiTheme="minorHAnsi" w:hAnsiTheme="minorHAnsi"/>
          <w:b/>
          <w:bCs/>
          <w:sz w:val="44"/>
          <w:szCs w:val="48"/>
        </w:rPr>
        <w:t>property</w:t>
      </w:r>
      <w:proofErr w:type="spellEnd"/>
      <w:r w:rsidRPr="00D56720">
        <w:rPr>
          <w:rFonts w:asciiTheme="minorHAnsi" w:hAnsiTheme="minorHAnsi"/>
          <w:b/>
          <w:bCs/>
          <w:sz w:val="44"/>
          <w:szCs w:val="48"/>
        </w:rPr>
        <w:t>, a.s.“</w:t>
      </w:r>
    </w:p>
    <w:p w:rsidR="00A432B6" w:rsidRPr="00D56720" w:rsidRDefault="00A432B6" w:rsidP="00A432B6">
      <w:pPr>
        <w:jc w:val="center"/>
        <w:rPr>
          <w:rFonts w:asciiTheme="minorHAnsi" w:hAnsiTheme="minorHAnsi"/>
          <w:bCs/>
          <w:sz w:val="22"/>
          <w:szCs w:val="22"/>
        </w:rPr>
      </w:pPr>
      <w:r w:rsidRPr="00D56720">
        <w:rPr>
          <w:rStyle w:val="Siln"/>
          <w:rFonts w:asciiTheme="minorHAnsi" w:hAnsiTheme="minorHAnsi"/>
          <w:sz w:val="22"/>
          <w:szCs w:val="22"/>
        </w:rPr>
        <w:t xml:space="preserve">zadávané mimo režim zákona č. 134/2016 Sb., o zadávání veřejných zakázek (dále jen „ZZVZ“) </w:t>
      </w:r>
      <w:r w:rsidRPr="00D56720">
        <w:rPr>
          <w:rFonts w:asciiTheme="minorHAnsi" w:hAnsiTheme="minorHAnsi"/>
          <w:bCs/>
          <w:sz w:val="22"/>
          <w:szCs w:val="22"/>
        </w:rPr>
        <w:t xml:space="preserve">a v souladu s Pravidly pro výběr dodavatelů </w:t>
      </w:r>
      <w:proofErr w:type="gramStart"/>
      <w:r w:rsidRPr="00D56720">
        <w:rPr>
          <w:rFonts w:asciiTheme="minorHAnsi" w:hAnsiTheme="minorHAnsi"/>
          <w:bCs/>
          <w:sz w:val="22"/>
          <w:szCs w:val="22"/>
        </w:rPr>
        <w:t>č.j.</w:t>
      </w:r>
      <w:proofErr w:type="gramEnd"/>
      <w:r w:rsidRPr="00D56720">
        <w:rPr>
          <w:rFonts w:asciiTheme="minorHAnsi" w:hAnsiTheme="minorHAnsi"/>
          <w:bCs/>
          <w:sz w:val="22"/>
          <w:szCs w:val="22"/>
        </w:rPr>
        <w:t xml:space="preserve"> MPO  56796/18/61100/61000/501/7, platnými od 1. 8. 2018, účinnými od  10.  8. 2018 </w:t>
      </w:r>
      <w:r w:rsidRPr="00D56720">
        <w:rPr>
          <w:rStyle w:val="Siln"/>
          <w:rFonts w:asciiTheme="minorHAnsi" w:hAnsiTheme="minorHAnsi"/>
          <w:sz w:val="22"/>
          <w:szCs w:val="22"/>
        </w:rPr>
        <w:t>v rámci projektu „</w:t>
      </w:r>
      <w:r w:rsidRPr="00D56720">
        <w:rPr>
          <w:rFonts w:asciiTheme="minorHAnsi" w:hAnsiTheme="minorHAnsi"/>
          <w:b/>
          <w:bCs/>
          <w:sz w:val="22"/>
          <w:szCs w:val="22"/>
        </w:rPr>
        <w:t>1CSC a.s. - Rozvoj a revitalizace výrobního areálu“</w:t>
      </w:r>
      <w:r w:rsidRPr="00D56720">
        <w:rPr>
          <w:rFonts w:asciiTheme="minorHAnsi" w:hAnsiTheme="minorHAnsi"/>
          <w:bCs/>
          <w:sz w:val="22"/>
          <w:szCs w:val="22"/>
        </w:rPr>
        <w:t xml:space="preserve"> </w:t>
      </w:r>
      <w:r w:rsidRPr="00D56720">
        <w:rPr>
          <w:rStyle w:val="Siln"/>
          <w:rFonts w:asciiTheme="minorHAnsi" w:hAnsiTheme="minorHAnsi"/>
          <w:sz w:val="22"/>
          <w:szCs w:val="22"/>
        </w:rPr>
        <w:t>spolufinancovaného z </w:t>
      </w:r>
      <w:r w:rsidRPr="00D56720">
        <w:rPr>
          <w:rFonts w:asciiTheme="minorHAnsi" w:hAnsiTheme="minorHAnsi"/>
          <w:bCs/>
          <w:sz w:val="22"/>
          <w:szCs w:val="22"/>
        </w:rPr>
        <w:t>Operačního programu Podnikání a inovace pro konkurenceschopnost, program Úspory energie</w:t>
      </w:r>
      <w:r w:rsidRPr="00D56720">
        <w:rPr>
          <w:rFonts w:asciiTheme="minorHAnsi" w:hAnsiTheme="minorHAnsi"/>
          <w:sz w:val="22"/>
          <w:szCs w:val="22"/>
        </w:rPr>
        <w:t>,</w:t>
      </w:r>
      <w:r w:rsidRPr="00D56720">
        <w:rPr>
          <w:rFonts w:asciiTheme="minorHAnsi" w:hAnsiTheme="minorHAnsi"/>
          <w:bCs/>
          <w:sz w:val="22"/>
          <w:szCs w:val="22"/>
        </w:rPr>
        <w:t xml:space="preserve"> prioritní osa 3 – Efektivnější nakládání energií, </w:t>
      </w:r>
      <w:r w:rsidRPr="00D56720">
        <w:rPr>
          <w:rFonts w:asciiTheme="minorHAnsi" w:hAnsiTheme="minorHAnsi"/>
          <w:sz w:val="22"/>
          <w:szCs w:val="22"/>
        </w:rPr>
        <w:t xml:space="preserve">Výzva II., </w:t>
      </w:r>
      <w:r w:rsidRPr="00D56720">
        <w:rPr>
          <w:rFonts w:asciiTheme="minorHAnsi" w:hAnsiTheme="minorHAnsi"/>
          <w:bCs/>
          <w:sz w:val="22"/>
          <w:szCs w:val="22"/>
        </w:rPr>
        <w:t xml:space="preserve">registrační číslo projektu: </w:t>
      </w:r>
      <w:r w:rsidRPr="00D56720">
        <w:rPr>
          <w:rFonts w:asciiTheme="minorHAnsi" w:hAnsiTheme="minorHAnsi" w:cs="Calibri"/>
          <w:sz w:val="22"/>
          <w:szCs w:val="22"/>
        </w:rPr>
        <w:t>CZ.01.3.10/0.0/0.0/16_061/0011922</w:t>
      </w:r>
    </w:p>
    <w:p w:rsidR="00A432B6" w:rsidRPr="00B03F56" w:rsidRDefault="00A432B6" w:rsidP="00A432B6">
      <w:pPr>
        <w:jc w:val="center"/>
        <w:rPr>
          <w:rFonts w:ascii="Calibri" w:hAnsi="Calibri"/>
          <w:bCs/>
          <w:sz w:val="22"/>
          <w:szCs w:val="22"/>
        </w:rPr>
      </w:pPr>
    </w:p>
    <w:p w:rsidR="00A432B6" w:rsidRPr="00B61C00" w:rsidRDefault="00A432B6" w:rsidP="00A432B6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A432B6" w:rsidRPr="00D56720" w:rsidRDefault="00A432B6" w:rsidP="00A432B6">
      <w:pPr>
        <w:ind w:left="3119" w:hanging="3119"/>
        <w:rPr>
          <w:rFonts w:asciiTheme="minorHAnsi" w:hAnsiTheme="minorHAnsi"/>
          <w:b/>
          <w:sz w:val="22"/>
          <w:szCs w:val="22"/>
        </w:rPr>
      </w:pPr>
      <w:r w:rsidRPr="00B61C00">
        <w:rPr>
          <w:rFonts w:ascii="Calibri" w:eastAsia="Calibri" w:hAnsi="Calibri"/>
          <w:bCs/>
          <w:sz w:val="22"/>
          <w:szCs w:val="22"/>
          <w:lang w:eastAsia="en-US"/>
        </w:rPr>
        <w:t>Obchodní firma:</w:t>
      </w:r>
      <w:r w:rsidRPr="00B61C0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D56720">
        <w:rPr>
          <w:rFonts w:asciiTheme="minorHAnsi" w:hAnsiTheme="minorHAnsi"/>
          <w:b/>
          <w:sz w:val="22"/>
          <w:szCs w:val="22"/>
        </w:rPr>
        <w:t xml:space="preserve">NELI </w:t>
      </w:r>
      <w:proofErr w:type="spellStart"/>
      <w:r w:rsidRPr="00D56720">
        <w:rPr>
          <w:rFonts w:asciiTheme="minorHAnsi" w:hAnsiTheme="minorHAnsi"/>
          <w:b/>
          <w:sz w:val="22"/>
          <w:szCs w:val="22"/>
        </w:rPr>
        <w:t>property</w:t>
      </w:r>
      <w:proofErr w:type="spellEnd"/>
      <w:r w:rsidRPr="00D56720">
        <w:rPr>
          <w:rFonts w:asciiTheme="minorHAnsi" w:hAnsiTheme="minorHAnsi"/>
          <w:b/>
          <w:sz w:val="22"/>
          <w:szCs w:val="22"/>
        </w:rPr>
        <w:t>, a.s.</w:t>
      </w:r>
    </w:p>
    <w:p w:rsidR="00A432B6" w:rsidRPr="00D56720" w:rsidRDefault="00A432B6" w:rsidP="00A432B6">
      <w:pPr>
        <w:ind w:left="3119" w:hanging="3119"/>
        <w:rPr>
          <w:rFonts w:asciiTheme="minorHAnsi" w:hAnsiTheme="minorHAnsi"/>
          <w:sz w:val="22"/>
          <w:szCs w:val="22"/>
        </w:rPr>
      </w:pPr>
      <w:r w:rsidRPr="00D56720">
        <w:rPr>
          <w:rFonts w:asciiTheme="minorHAnsi" w:hAnsiTheme="minorHAnsi"/>
          <w:sz w:val="22"/>
          <w:szCs w:val="22"/>
        </w:rPr>
        <w:t>Sídlo:</w:t>
      </w:r>
      <w:r w:rsidRPr="00D56720">
        <w:rPr>
          <w:rFonts w:asciiTheme="minorHAnsi" w:hAnsiTheme="minorHAnsi"/>
          <w:sz w:val="22"/>
          <w:szCs w:val="22"/>
        </w:rPr>
        <w:tab/>
        <w:t>Na Hraničkách 589/34, Dědice, 682 01, Vyškov</w:t>
      </w:r>
      <w:r w:rsidRPr="00D56720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A432B6" w:rsidRPr="00D56720" w:rsidRDefault="00A432B6" w:rsidP="00A432B6">
      <w:pPr>
        <w:ind w:left="3119" w:hanging="3119"/>
        <w:rPr>
          <w:rFonts w:asciiTheme="minorHAnsi" w:hAnsiTheme="minorHAnsi"/>
          <w:sz w:val="22"/>
          <w:szCs w:val="22"/>
        </w:rPr>
      </w:pPr>
      <w:r w:rsidRPr="00D56720">
        <w:rPr>
          <w:rFonts w:asciiTheme="minorHAnsi" w:hAnsiTheme="minorHAnsi"/>
          <w:sz w:val="22"/>
          <w:szCs w:val="22"/>
        </w:rPr>
        <w:t>Zastoupen:</w:t>
      </w:r>
      <w:r w:rsidRPr="00D56720">
        <w:rPr>
          <w:rFonts w:asciiTheme="minorHAnsi" w:hAnsiTheme="minorHAnsi"/>
          <w:sz w:val="22"/>
          <w:szCs w:val="22"/>
        </w:rPr>
        <w:tab/>
        <w:t>Miroslav Beneš, člen představenstva</w:t>
      </w:r>
    </w:p>
    <w:p w:rsidR="00A432B6" w:rsidRPr="00D56720" w:rsidRDefault="00A432B6" w:rsidP="00A432B6">
      <w:pPr>
        <w:ind w:left="3119" w:hanging="3119"/>
        <w:rPr>
          <w:rFonts w:asciiTheme="minorHAnsi" w:hAnsiTheme="minorHAnsi"/>
          <w:sz w:val="22"/>
          <w:szCs w:val="22"/>
        </w:rPr>
      </w:pPr>
      <w:r w:rsidRPr="00D56720">
        <w:rPr>
          <w:rFonts w:asciiTheme="minorHAnsi" w:hAnsiTheme="minorHAnsi"/>
          <w:sz w:val="22"/>
          <w:szCs w:val="22"/>
        </w:rPr>
        <w:t>IČO:</w:t>
      </w:r>
      <w:r w:rsidRPr="00D56720">
        <w:rPr>
          <w:rFonts w:asciiTheme="minorHAnsi" w:hAnsiTheme="minorHAnsi"/>
          <w:sz w:val="22"/>
          <w:szCs w:val="22"/>
        </w:rPr>
        <w:tab/>
        <w:t>29275555</w:t>
      </w:r>
    </w:p>
    <w:p w:rsidR="00A432B6" w:rsidRPr="00D56720" w:rsidRDefault="00A432B6" w:rsidP="00A432B6">
      <w:pPr>
        <w:ind w:left="3119" w:hanging="3119"/>
        <w:rPr>
          <w:rFonts w:asciiTheme="minorHAnsi" w:hAnsiTheme="minorHAnsi"/>
          <w:sz w:val="22"/>
          <w:szCs w:val="22"/>
        </w:rPr>
      </w:pPr>
      <w:r w:rsidRPr="00D56720">
        <w:rPr>
          <w:rFonts w:asciiTheme="minorHAnsi" w:hAnsiTheme="minorHAnsi"/>
          <w:sz w:val="22"/>
          <w:szCs w:val="22"/>
        </w:rPr>
        <w:t>DIČ:</w:t>
      </w:r>
      <w:r w:rsidRPr="00D56720">
        <w:rPr>
          <w:rFonts w:asciiTheme="minorHAnsi" w:hAnsiTheme="minorHAnsi"/>
          <w:sz w:val="22"/>
          <w:szCs w:val="22"/>
        </w:rPr>
        <w:tab/>
        <w:t>CZ29275555</w:t>
      </w:r>
    </w:p>
    <w:p w:rsidR="00A432B6" w:rsidRPr="00D56720" w:rsidRDefault="00A432B6" w:rsidP="00A432B6">
      <w:pPr>
        <w:spacing w:after="120"/>
        <w:ind w:left="3119" w:hanging="3119"/>
        <w:rPr>
          <w:rFonts w:asciiTheme="minorHAnsi" w:hAnsiTheme="minorHAnsi"/>
          <w:sz w:val="22"/>
          <w:szCs w:val="22"/>
        </w:rPr>
      </w:pPr>
      <w:r w:rsidRPr="00D56720">
        <w:rPr>
          <w:rFonts w:asciiTheme="minorHAnsi" w:hAnsiTheme="minorHAnsi"/>
          <w:sz w:val="22"/>
          <w:szCs w:val="22"/>
        </w:rPr>
        <w:t>Zapsaná v obchodním rejstříku vedeném Krajským soudem v Brně, oddíl B, vložka 6344.</w:t>
      </w:r>
    </w:p>
    <w:p w:rsidR="001A4F94" w:rsidRDefault="001A4F94"/>
    <w:p w:rsidR="001A4F94" w:rsidRDefault="001A4F94"/>
    <w:p w:rsidR="00A432B6" w:rsidRDefault="00A432B6" w:rsidP="001A4F94">
      <w:pPr>
        <w:pStyle w:val="Odstavecseseznamem"/>
        <w:numPr>
          <w:ilvl w:val="0"/>
          <w:numId w:val="2"/>
        </w:numPr>
        <w:spacing w:after="0"/>
        <w:ind w:left="360"/>
        <w:jc w:val="both"/>
      </w:pPr>
      <w:r>
        <w:t>Veškeré stavební práce budou probíhat za plného provozu objektu a celého areálu, probíhá zde nepřetržitý provoz</w:t>
      </w:r>
      <w:r w:rsidR="001A4F94">
        <w:t>.</w:t>
      </w:r>
    </w:p>
    <w:p w:rsidR="001A4F94" w:rsidRDefault="00A432B6" w:rsidP="001A4F94">
      <w:pPr>
        <w:pStyle w:val="Odstavecseseznamem"/>
        <w:numPr>
          <w:ilvl w:val="0"/>
          <w:numId w:val="2"/>
        </w:numPr>
        <w:spacing w:after="0"/>
        <w:ind w:left="360"/>
        <w:jc w:val="both"/>
      </w:pPr>
      <w:r>
        <w:t>Zásobování stavby je možné především v </w:t>
      </w:r>
      <w:r>
        <w:t>odpoledních hodinách a o víkend</w:t>
      </w:r>
      <w:r w:rsidR="001A4F94">
        <w:t>u.</w:t>
      </w:r>
    </w:p>
    <w:p w:rsidR="001A4F94" w:rsidRDefault="00A432B6" w:rsidP="001A4F94">
      <w:pPr>
        <w:pStyle w:val="Odstavecseseznamem"/>
        <w:numPr>
          <w:ilvl w:val="0"/>
          <w:numId w:val="2"/>
        </w:numPr>
        <w:spacing w:after="0"/>
        <w:ind w:left="360"/>
        <w:jc w:val="both"/>
      </w:pPr>
      <w:r>
        <w:t xml:space="preserve">Není možno omezit zásobování kamiony nejen zásobovací cestu podél objektu A, která je ve společném </w:t>
      </w:r>
      <w:r w:rsidR="001A4F94">
        <w:t>spoluvlastnictví více subjektů (</w:t>
      </w:r>
      <w:r>
        <w:t>týká se např. reali</w:t>
      </w:r>
      <w:r w:rsidR="001A4F94">
        <w:t>zaci výměny panelů na objektu A</w:t>
      </w:r>
      <w:r>
        <w:t>). Uchazeč tedy musí zvolit tak</w:t>
      </w:r>
      <w:r w:rsidR="001A4F94">
        <w:t>ové řešení stavební mechanizace (</w:t>
      </w:r>
      <w:r>
        <w:t>plošiny, jeřáby a jiná manipulační technika) které bude umožnovat průjezd a neomezí investora</w:t>
      </w:r>
      <w:r w:rsidR="001A4F94">
        <w:t>.</w:t>
      </w:r>
    </w:p>
    <w:p w:rsidR="001A4F94" w:rsidRDefault="00A432B6" w:rsidP="001A4F94">
      <w:pPr>
        <w:pStyle w:val="Odstavecseseznamem"/>
        <w:numPr>
          <w:ilvl w:val="0"/>
          <w:numId w:val="2"/>
        </w:numPr>
        <w:spacing w:after="0"/>
        <w:ind w:left="360"/>
        <w:jc w:val="both"/>
      </w:pPr>
      <w:r>
        <w:t>Při provádění veškerých prací nesmí být omezena výroba uvnitř areálu – tj. při postupné výměně střešních panelů a světlíků bude probíhat provoz investora. Proto je nutno při výměně střešních panelů provést záchytné sítě v rámci střešní roviny a dále provést takové opatření na střeše, aby nemohlo dojít k zatečen</w:t>
      </w:r>
      <w:r w:rsidR="001A4F94">
        <w:t>í do objektu a poškození strojů</w:t>
      </w:r>
      <w:r>
        <w:t>!</w:t>
      </w:r>
    </w:p>
    <w:p w:rsidR="001A4F94" w:rsidRDefault="00A432B6" w:rsidP="001A4F94">
      <w:pPr>
        <w:pStyle w:val="Odstavecseseznamem"/>
        <w:numPr>
          <w:ilvl w:val="0"/>
          <w:numId w:val="2"/>
        </w:numPr>
        <w:ind w:left="360"/>
        <w:jc w:val="both"/>
      </w:pPr>
      <w:r>
        <w:t>Taktéž při výměně obvodových sendvičových panelů na objektu A je nutno provést jejich výměnu postupně tak, aby byla odkryta co nejmenší část této stěny a nebyl provoz uvnitř naruše</w:t>
      </w:r>
      <w:r w:rsidR="001A4F94">
        <w:t xml:space="preserve">n vlivem </w:t>
      </w:r>
    </w:p>
    <w:p w:rsidR="001A4F94" w:rsidRDefault="001A4F94" w:rsidP="001A4F94">
      <w:pPr>
        <w:pStyle w:val="Odstavecseseznamem"/>
        <w:ind w:left="360"/>
        <w:jc w:val="both"/>
      </w:pPr>
      <w:r>
        <w:t>venkovního prostředí (</w:t>
      </w:r>
      <w:r w:rsidR="00A432B6">
        <w:t xml:space="preserve">prach, klimatické vlivy). Proto je nutno vždy provést výměnu tak, aby pokud možno zůstala odkrytá co nejmenší část </w:t>
      </w:r>
      <w:r>
        <w:t>stěny, a ta</w:t>
      </w:r>
      <w:r w:rsidR="00A432B6">
        <w:t xml:space="preserve"> bude zakrytá </w:t>
      </w:r>
      <w:r>
        <w:t>plachtou, aby</w:t>
      </w:r>
      <w:r w:rsidR="00A432B6">
        <w:t xml:space="preserve"> zabránila pronikání prašnosti do haly a případnému zatečení</w:t>
      </w:r>
      <w:r>
        <w:t>.</w:t>
      </w:r>
    </w:p>
    <w:p w:rsidR="001A4F94" w:rsidRDefault="001A4F94" w:rsidP="001A4F94">
      <w:pPr>
        <w:pStyle w:val="Odstavecseseznamem"/>
        <w:ind w:left="360"/>
        <w:jc w:val="both"/>
      </w:pPr>
    </w:p>
    <w:p w:rsidR="001A4F94" w:rsidRDefault="001A4F94" w:rsidP="001A4F94">
      <w:pPr>
        <w:pStyle w:val="Odstavecseseznamem"/>
        <w:ind w:left="360"/>
        <w:jc w:val="both"/>
      </w:pPr>
    </w:p>
    <w:p w:rsidR="001A4F94" w:rsidRDefault="00A432B6" w:rsidP="001A4F94">
      <w:pPr>
        <w:pStyle w:val="Odstavecseseznamem"/>
        <w:numPr>
          <w:ilvl w:val="0"/>
          <w:numId w:val="2"/>
        </w:numPr>
        <w:ind w:left="360"/>
        <w:jc w:val="both"/>
      </w:pPr>
      <w:r>
        <w:t xml:space="preserve">Při výměně světlíků na </w:t>
      </w:r>
      <w:r w:rsidR="001A4F94">
        <w:t>halách B, C, D, E je</w:t>
      </w:r>
      <w:r>
        <w:t xml:space="preserve"> nutno zřídit pro prostor</w:t>
      </w:r>
      <w:r w:rsidR="001A4F94">
        <w:t>em světlíků pevnou konstrukci (</w:t>
      </w:r>
      <w:r>
        <w:t xml:space="preserve">např. z OSB desek a trámů), tak aby byl prostor provádění výměny světlíků oddělen od prostoru haly a nemohly při demontáži světlíků padat kusy </w:t>
      </w:r>
      <w:proofErr w:type="spellStart"/>
      <w:r>
        <w:t>drátoskla</w:t>
      </w:r>
      <w:proofErr w:type="spellEnd"/>
      <w:r>
        <w:t xml:space="preserve"> spadnout do prostoru haly. </w:t>
      </w:r>
    </w:p>
    <w:p w:rsidR="00A432B6" w:rsidRDefault="00A432B6" w:rsidP="001A4F94">
      <w:pPr>
        <w:pStyle w:val="Odstavecseseznamem"/>
        <w:numPr>
          <w:ilvl w:val="0"/>
          <w:numId w:val="2"/>
        </w:numPr>
        <w:ind w:left="360"/>
        <w:jc w:val="both"/>
      </w:pPr>
      <w:r>
        <w:t>Podrobněji je postup prací, omezení při výstavbě a možná opatření, která musí zhotovitel provést popsán v dokumentu „POV“, který je nedílnou součástí projektové dokumentace a uchazeči jej musí zohlednit při tvorbě cenové nabídky</w:t>
      </w:r>
      <w:r w:rsidR="001A4F94">
        <w:t>.</w:t>
      </w:r>
    </w:p>
    <w:p w:rsidR="00A432B6" w:rsidRDefault="00A432B6" w:rsidP="001A4F94">
      <w:pPr>
        <w:pStyle w:val="Odstavecseseznamem"/>
        <w:numPr>
          <w:ilvl w:val="0"/>
          <w:numId w:val="2"/>
        </w:numPr>
        <w:ind w:left="360"/>
        <w:jc w:val="both"/>
      </w:pPr>
      <w:r>
        <w:t>Konkrétní opatření a technologický postup provedení jednotlivých stavebních prací je na uchazeči, zásadní podmínkou je neomezení provozu investora</w:t>
      </w:r>
      <w:r w:rsidR="001A4F94">
        <w:t>.</w:t>
      </w:r>
    </w:p>
    <w:p w:rsidR="00A432B6" w:rsidRDefault="00A432B6" w:rsidP="001A4F94">
      <w:pPr>
        <w:pStyle w:val="Odstavecseseznamem"/>
        <w:numPr>
          <w:ilvl w:val="0"/>
          <w:numId w:val="2"/>
        </w:numPr>
        <w:ind w:left="360"/>
        <w:jc w:val="both"/>
      </w:pPr>
      <w:r>
        <w:t xml:space="preserve">Uchazeč musí všechny tyto opatření zahrnout do své celkové nabídkové ceny – projektant některé tyto opatření již konkrétně zahrnul do výkazu výměr, je však na uchazeči jaká konkrétní opatření zvolí a případně další případné náklady spojené s realizací stavby za provozu, které uchazeč </w:t>
      </w:r>
      <w:r w:rsidR="001A4F94">
        <w:t>požaduje, musí</w:t>
      </w:r>
      <w:r>
        <w:t xml:space="preserve"> zahrnut do jednotkových cen nebo do vedlejších rozpočtovýc</w:t>
      </w:r>
      <w:r w:rsidR="001A4F94">
        <w:t>h nákladů</w:t>
      </w:r>
      <w:bookmarkStart w:id="0" w:name="_GoBack"/>
      <w:bookmarkEnd w:id="0"/>
      <w:r w:rsidR="001A4F94">
        <w:t>.</w:t>
      </w:r>
      <w:r>
        <w:t xml:space="preserve"> </w:t>
      </w:r>
    </w:p>
    <w:p w:rsidR="00A432B6" w:rsidRDefault="00A432B6" w:rsidP="001A4F94"/>
    <w:sectPr w:rsidR="00A432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B6" w:rsidRDefault="00A432B6" w:rsidP="00A432B6">
      <w:r>
        <w:separator/>
      </w:r>
    </w:p>
  </w:endnote>
  <w:endnote w:type="continuationSeparator" w:id="0">
    <w:p w:rsidR="00A432B6" w:rsidRDefault="00A432B6" w:rsidP="00A4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B6" w:rsidRDefault="00A432B6" w:rsidP="00A432B6">
      <w:r>
        <w:separator/>
      </w:r>
    </w:p>
  </w:footnote>
  <w:footnote w:type="continuationSeparator" w:id="0">
    <w:p w:rsidR="00A432B6" w:rsidRDefault="00A432B6" w:rsidP="00A43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B6" w:rsidRDefault="00A432B6" w:rsidP="00A432B6">
    <w:pPr>
      <w:pStyle w:val="Zhlav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6C136BD" wp14:editId="3D5DAAE2">
          <wp:simplePos x="0" y="0"/>
          <wp:positionH relativeFrom="column">
            <wp:posOffset>24130</wp:posOffset>
          </wp:positionH>
          <wp:positionV relativeFrom="paragraph">
            <wp:posOffset>-163830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3FD"/>
    <w:multiLevelType w:val="hybridMultilevel"/>
    <w:tmpl w:val="EEA4B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9308C"/>
    <w:multiLevelType w:val="hybridMultilevel"/>
    <w:tmpl w:val="0F020F08"/>
    <w:lvl w:ilvl="0" w:tplc="DCFAF0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E6"/>
    <w:rsid w:val="001A4F94"/>
    <w:rsid w:val="006307E6"/>
    <w:rsid w:val="00807DEF"/>
    <w:rsid w:val="00A432B6"/>
    <w:rsid w:val="00E6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432B6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A432B6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rsid w:val="00A432B6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A432B6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A432B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432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32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32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32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432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432B6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A432B6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rsid w:val="00A432B6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A432B6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A432B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432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32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32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32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432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E34F-4E55-4364-9D7F-43F08A8B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2816</Characters>
  <Application>Microsoft Office Word</Application>
  <DocSecurity>0</DocSecurity>
  <Lines>23</Lines>
  <Paragraphs>6</Paragraphs>
  <ScaleCrop>false</ScaleCrop>
  <Company>Erste Grantika Advisory, a.s.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Baráková Kateřina</dc:creator>
  <cp:keywords/>
  <dc:description/>
  <cp:lastModifiedBy>Baráková Kateřina</cp:lastModifiedBy>
  <cp:revision>3</cp:revision>
  <dcterms:created xsi:type="dcterms:W3CDTF">2019-03-20T13:11:00Z</dcterms:created>
  <dcterms:modified xsi:type="dcterms:W3CDTF">2019-03-20T13:21:00Z</dcterms:modified>
</cp:coreProperties>
</file>