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E08F" w14:textId="4D98C3D8" w:rsidR="0075485A" w:rsidRPr="00727F33" w:rsidRDefault="0075485A">
      <w:pPr>
        <w:rPr>
          <w:rFonts w:cs="Calibri Light"/>
          <w:b/>
          <w:bCs/>
          <w:sz w:val="20"/>
          <w:szCs w:val="20"/>
        </w:rPr>
      </w:pPr>
      <w:r w:rsidRPr="00727F33">
        <w:rPr>
          <w:rFonts w:cs="Calibri Light"/>
          <w:b/>
          <w:bCs/>
          <w:sz w:val="20"/>
          <w:szCs w:val="20"/>
        </w:rPr>
        <w:t xml:space="preserve">Část </w:t>
      </w:r>
      <w:r w:rsidR="00C65992" w:rsidRPr="00727F33">
        <w:rPr>
          <w:rFonts w:cs="Calibri Light"/>
          <w:b/>
          <w:bCs/>
          <w:sz w:val="20"/>
          <w:szCs w:val="20"/>
        </w:rPr>
        <w:t>4</w:t>
      </w:r>
      <w:r w:rsidRPr="00727F33">
        <w:rPr>
          <w:rFonts w:cs="Calibri Light"/>
          <w:b/>
          <w:bCs/>
          <w:sz w:val="20"/>
          <w:szCs w:val="20"/>
        </w:rPr>
        <w:t xml:space="preserve"> – </w:t>
      </w:r>
      <w:r w:rsidR="00C65992" w:rsidRPr="00727F33">
        <w:rPr>
          <w:rFonts w:cs="Calibri Light"/>
          <w:b/>
          <w:bCs/>
          <w:sz w:val="20"/>
          <w:szCs w:val="20"/>
        </w:rPr>
        <w:t>Kyberbezpečnost (ochrana koncových prvků)</w:t>
      </w:r>
    </w:p>
    <w:p w14:paraId="441E988A" w14:textId="3F0949C1" w:rsidR="004F304E" w:rsidRPr="00727F33" w:rsidRDefault="0075485A">
      <w:pPr>
        <w:rPr>
          <w:rFonts w:cs="Calibri Light"/>
          <w:b/>
          <w:bCs/>
          <w:color w:val="0070C0"/>
          <w:sz w:val="20"/>
          <w:szCs w:val="20"/>
        </w:rPr>
      </w:pPr>
      <w:r w:rsidRPr="00727F33">
        <w:rPr>
          <w:rFonts w:cs="Calibri Light"/>
          <w:b/>
          <w:bCs/>
          <w:color w:val="0070C0"/>
          <w:sz w:val="20"/>
          <w:szCs w:val="20"/>
        </w:rPr>
        <w:t>Předmět poptávky</w:t>
      </w:r>
      <w:r w:rsidR="00240D71" w:rsidRPr="00727F33">
        <w:rPr>
          <w:rFonts w:cs="Calibri Light"/>
          <w:b/>
          <w:bCs/>
          <w:color w:val="0070C0"/>
          <w:sz w:val="20"/>
          <w:szCs w:val="20"/>
        </w:rPr>
        <w:t>, Technické specifikace</w:t>
      </w:r>
    </w:p>
    <w:p w14:paraId="7A61BFAC" w14:textId="71D3A947" w:rsidR="002E7ADA" w:rsidRDefault="002E7ADA" w:rsidP="002E7ADA">
      <w:pPr>
        <w:jc w:val="both"/>
        <w:rPr>
          <w:rFonts w:cs="Calibri Light"/>
          <w:sz w:val="20"/>
          <w:szCs w:val="20"/>
        </w:rPr>
      </w:pPr>
      <w:r w:rsidRPr="00727F33">
        <w:rPr>
          <w:rFonts w:cs="Calibri Light"/>
          <w:sz w:val="20"/>
          <w:szCs w:val="20"/>
        </w:rPr>
        <w:t xml:space="preserve">Předmětem nabídky je licence a implementace EPP a EDR řešení založeném na umělé inteligenci (neuronových sítích) a behaviorální analýze v kombinaci s klasickými technikami přímé pasivní detekce pro </w:t>
      </w:r>
      <w:r w:rsidR="00703920" w:rsidRPr="00727F33">
        <w:rPr>
          <w:rFonts w:cs="Calibri Light"/>
          <w:sz w:val="20"/>
          <w:szCs w:val="20"/>
        </w:rPr>
        <w:t>90</w:t>
      </w:r>
      <w:r w:rsidRPr="00727F33">
        <w:rPr>
          <w:rFonts w:cs="Calibri Light"/>
          <w:sz w:val="20"/>
          <w:szCs w:val="20"/>
        </w:rPr>
        <w:t xml:space="preserve"> pracovních stanic a </w:t>
      </w:r>
      <w:r w:rsidR="00435AD3" w:rsidRPr="00727F33">
        <w:rPr>
          <w:rFonts w:cs="Calibri Light"/>
          <w:sz w:val="20"/>
          <w:szCs w:val="20"/>
        </w:rPr>
        <w:t>12</w:t>
      </w:r>
      <w:r w:rsidRPr="00727F33">
        <w:rPr>
          <w:rFonts w:cs="Calibri Light"/>
          <w:sz w:val="20"/>
          <w:szCs w:val="20"/>
        </w:rPr>
        <w:t xml:space="preserve"> serverů. Podrobný popis předmětu plnění a stanovení rozsahu technických parametrů požadovaného zboží je uveden v technick</w:t>
      </w:r>
      <w:r w:rsidR="00F5674A" w:rsidRPr="00727F33">
        <w:rPr>
          <w:rFonts w:cs="Calibri Light"/>
          <w:sz w:val="20"/>
          <w:szCs w:val="20"/>
        </w:rPr>
        <w:t>é</w:t>
      </w:r>
      <w:r w:rsidRPr="00727F33">
        <w:rPr>
          <w:rFonts w:cs="Calibri Light"/>
          <w:sz w:val="20"/>
          <w:szCs w:val="20"/>
        </w:rPr>
        <w:t xml:space="preserve"> specifikac</w:t>
      </w:r>
      <w:r w:rsidR="00F5674A" w:rsidRPr="00727F33">
        <w:rPr>
          <w:rFonts w:cs="Calibri Light"/>
          <w:sz w:val="20"/>
          <w:szCs w:val="20"/>
        </w:rPr>
        <w:t>i</w:t>
      </w:r>
      <w:r w:rsidRPr="00727F33">
        <w:rPr>
          <w:rFonts w:cs="Calibri Light"/>
          <w:sz w:val="20"/>
          <w:szCs w:val="20"/>
        </w:rPr>
        <w:t>.</w:t>
      </w:r>
    </w:p>
    <w:p w14:paraId="64FDF64E" w14:textId="65E1F5A1" w:rsidR="001202A2" w:rsidRPr="001202A2" w:rsidRDefault="001202A2" w:rsidP="001202A2">
      <w:pPr>
        <w:jc w:val="both"/>
        <w:rPr>
          <w:rFonts w:cs="Calibri Light"/>
          <w:sz w:val="20"/>
          <w:szCs w:val="20"/>
        </w:rPr>
      </w:pPr>
      <w:r w:rsidRPr="001202A2">
        <w:rPr>
          <w:rFonts w:cs="Calibri Light"/>
          <w:sz w:val="20"/>
          <w:szCs w:val="20"/>
        </w:rPr>
        <w:t>Zadavatel požaduje pořízení řešení na období  3 roky u části 4 – ochrana koncových stanic. Cena za první rok musí zahrnovat jednorázový aktivační poplatek zahrnující dodání licence, uvedení řešení do provozu a související implementační úkony. Cena za další roky (2.-3. rok) bude obsahovat pouze provozní/licenční poplatek a technickou podporu. Dodavatel je povinen uvést rozpad ceny po jednotlivých letech samostatně.</w:t>
      </w:r>
    </w:p>
    <w:p w14:paraId="0731AFD3" w14:textId="4399B280" w:rsidR="00DD1778" w:rsidRPr="00727F33" w:rsidRDefault="00DD1778">
      <w:pPr>
        <w:rPr>
          <w:rFonts w:cs="Calibri Light"/>
          <w:b/>
          <w:bCs/>
          <w:color w:val="0070C0"/>
          <w:sz w:val="20"/>
          <w:szCs w:val="20"/>
        </w:rPr>
      </w:pPr>
      <w:r w:rsidRPr="00727F33">
        <w:rPr>
          <w:rFonts w:cs="Calibri Light"/>
          <w:b/>
          <w:bCs/>
          <w:color w:val="0070C0"/>
          <w:sz w:val="20"/>
          <w:szCs w:val="20"/>
        </w:rPr>
        <w:t>Technické specifikace</w:t>
      </w:r>
    </w:p>
    <w:tbl>
      <w:tblPr>
        <w:tblW w:w="5073" w:type="pct"/>
        <w:tblCellMar>
          <w:left w:w="70" w:type="dxa"/>
          <w:right w:w="70" w:type="dxa"/>
        </w:tblCellMar>
        <w:tblLook w:val="04A0" w:firstRow="1" w:lastRow="0" w:firstColumn="1" w:lastColumn="0" w:noHBand="0" w:noVBand="1"/>
      </w:tblPr>
      <w:tblGrid>
        <w:gridCol w:w="6005"/>
        <w:gridCol w:w="1644"/>
        <w:gridCol w:w="1545"/>
      </w:tblGrid>
      <w:tr w:rsidR="001F71BE" w:rsidRPr="00727F33" w14:paraId="5AAB586E"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bottom"/>
            <w:hideMark/>
          </w:tcPr>
          <w:p w14:paraId="1BB06F52" w14:textId="77777777" w:rsidR="001F71BE" w:rsidRPr="00727F33" w:rsidRDefault="001F71BE" w:rsidP="00605C25">
            <w:pPr>
              <w:spacing w:after="0" w:line="240" w:lineRule="auto"/>
              <w:jc w:val="both"/>
              <w:rPr>
                <w:rFonts w:eastAsia="Times New Roman" w:cs="Calibri Light"/>
                <w:sz w:val="20"/>
                <w:szCs w:val="20"/>
                <w:lang w:eastAsia="cs-CZ"/>
              </w:rPr>
            </w:pPr>
            <w:r w:rsidRPr="00727F33">
              <w:rPr>
                <w:rFonts w:eastAsia="Times New Roman" w:cs="Calibri Light"/>
                <w:b/>
                <w:bCs/>
                <w:sz w:val="20"/>
                <w:szCs w:val="20"/>
                <w:lang w:eastAsia="cs-CZ"/>
              </w:rPr>
              <w:t>Konkrétní specifikace nabízeného zboží</w:t>
            </w:r>
          </w:p>
        </w:tc>
      </w:tr>
      <w:tr w:rsidR="001F71BE" w:rsidRPr="00727F33" w14:paraId="31C5132E"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bottom"/>
          </w:tcPr>
          <w:p w14:paraId="7A6C6446" w14:textId="77777777" w:rsidR="001F71BE" w:rsidRPr="00727F33" w:rsidRDefault="001F71BE" w:rsidP="00605C25">
            <w:pPr>
              <w:spacing w:after="0" w:line="240" w:lineRule="auto"/>
              <w:jc w:val="both"/>
              <w:rPr>
                <w:rFonts w:eastAsia="Times New Roman" w:cs="Calibri Light"/>
                <w:b/>
                <w:bCs/>
                <w:sz w:val="20"/>
                <w:szCs w:val="20"/>
                <w:lang w:eastAsia="cs-CZ"/>
              </w:rPr>
            </w:pPr>
            <w:r w:rsidRPr="00727F33">
              <w:rPr>
                <w:rFonts w:eastAsia="Times New Roman" w:cs="Calibri Light"/>
                <w:color w:val="000000"/>
                <w:sz w:val="20"/>
                <w:szCs w:val="20"/>
                <w:lang w:eastAsia="cs-CZ"/>
              </w:rPr>
              <w:t>Model – typové/výrobní označení</w:t>
            </w:r>
          </w:p>
        </w:tc>
        <w:tc>
          <w:tcPr>
            <w:tcW w:w="1734" w:type="pct"/>
            <w:gridSpan w:val="2"/>
            <w:tcBorders>
              <w:top w:val="single" w:sz="4" w:space="0" w:color="auto"/>
              <w:left w:val="nil"/>
              <w:bottom w:val="single" w:sz="4" w:space="0" w:color="auto"/>
              <w:right w:val="single" w:sz="4" w:space="0" w:color="auto"/>
            </w:tcBorders>
            <w:shd w:val="clear" w:color="auto" w:fill="FFFF00"/>
            <w:vAlign w:val="center"/>
          </w:tcPr>
          <w:p w14:paraId="2B4FDC59" w14:textId="2347E843" w:rsidR="001F71BE" w:rsidRPr="004F6934" w:rsidRDefault="00711A39" w:rsidP="00605C25">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1F71BE" w:rsidRPr="00727F33" w14:paraId="09879035"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bottom"/>
          </w:tcPr>
          <w:p w14:paraId="707DA52C" w14:textId="77777777" w:rsidR="001F71BE" w:rsidRPr="00727F33" w:rsidRDefault="001F71BE" w:rsidP="00605C25">
            <w:pPr>
              <w:spacing w:after="0" w:line="240" w:lineRule="auto"/>
              <w:jc w:val="both"/>
              <w:rPr>
                <w:rFonts w:eastAsia="Times New Roman" w:cs="Calibri Light"/>
                <w:b/>
                <w:bCs/>
                <w:sz w:val="20"/>
                <w:szCs w:val="20"/>
                <w:lang w:eastAsia="cs-CZ"/>
              </w:rPr>
            </w:pPr>
            <w:r w:rsidRPr="00727F33">
              <w:rPr>
                <w:rFonts w:eastAsia="Times New Roman" w:cs="Calibri Light"/>
                <w:color w:val="000000"/>
                <w:sz w:val="20"/>
                <w:szCs w:val="20"/>
                <w:lang w:eastAsia="cs-CZ"/>
              </w:rPr>
              <w:t>Výrobce:</w:t>
            </w:r>
          </w:p>
        </w:tc>
        <w:tc>
          <w:tcPr>
            <w:tcW w:w="1734" w:type="pct"/>
            <w:gridSpan w:val="2"/>
            <w:tcBorders>
              <w:top w:val="single" w:sz="4" w:space="0" w:color="auto"/>
              <w:left w:val="nil"/>
              <w:bottom w:val="single" w:sz="4" w:space="0" w:color="auto"/>
              <w:right w:val="single" w:sz="4" w:space="0" w:color="auto"/>
            </w:tcBorders>
            <w:shd w:val="clear" w:color="auto" w:fill="FFFF00"/>
            <w:vAlign w:val="center"/>
          </w:tcPr>
          <w:p w14:paraId="1F36848B" w14:textId="374211AE" w:rsidR="001F71BE" w:rsidRPr="004F6934" w:rsidRDefault="00711A39" w:rsidP="00605C25">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82272F" w:rsidRPr="00727F33" w14:paraId="3C14D99D"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B3EE36" w14:textId="7A8B9F7C" w:rsidR="0082272F" w:rsidRPr="00727F33" w:rsidRDefault="0082272F" w:rsidP="0082272F">
            <w:pPr>
              <w:spacing w:after="0" w:line="240" w:lineRule="auto"/>
              <w:jc w:val="both"/>
              <w:rPr>
                <w:rFonts w:eastAsia="Times New Roman" w:cs="Calibri Light"/>
                <w:b/>
                <w:bCs/>
                <w:sz w:val="20"/>
                <w:szCs w:val="20"/>
                <w:lang w:eastAsia="cs-CZ"/>
              </w:rPr>
            </w:pPr>
            <w:r>
              <w:rPr>
                <w:rFonts w:eastAsia="Times New Roman" w:cstheme="minorHAnsi"/>
                <w:b/>
                <w:bCs/>
                <w:sz w:val="20"/>
                <w:szCs w:val="20"/>
                <w:lang w:eastAsia="cs-CZ"/>
              </w:rPr>
              <w:t>Požadavek na funkcionalitu</w:t>
            </w:r>
          </w:p>
        </w:tc>
        <w:tc>
          <w:tcPr>
            <w:tcW w:w="894" w:type="pct"/>
            <w:tcBorders>
              <w:top w:val="single" w:sz="4" w:space="0" w:color="auto"/>
              <w:left w:val="nil"/>
              <w:bottom w:val="single" w:sz="4" w:space="0" w:color="auto"/>
              <w:right w:val="single" w:sz="4" w:space="0" w:color="auto"/>
            </w:tcBorders>
            <w:shd w:val="clear" w:color="auto" w:fill="C0C0C0"/>
            <w:vAlign w:val="center"/>
            <w:hideMark/>
          </w:tcPr>
          <w:p w14:paraId="01C666DC" w14:textId="10129F35" w:rsidR="0082272F" w:rsidRPr="00727F33" w:rsidRDefault="0082272F" w:rsidP="0082272F">
            <w:pPr>
              <w:spacing w:after="0" w:line="240" w:lineRule="auto"/>
              <w:jc w:val="center"/>
              <w:rPr>
                <w:rFonts w:eastAsia="Times New Roman" w:cs="Calibri Light"/>
                <w:b/>
                <w:bCs/>
                <w:sz w:val="20"/>
                <w:szCs w:val="20"/>
                <w:lang w:eastAsia="cs-CZ"/>
              </w:rPr>
            </w:pPr>
            <w:r>
              <w:rPr>
                <w:rFonts w:cs="Calibri"/>
                <w:b/>
                <w:bCs/>
                <w:color w:val="000000" w:themeColor="text1"/>
                <w:sz w:val="20"/>
                <w:szCs w:val="20"/>
              </w:rPr>
              <w:t>Splnění technické specifikace dodavatelem (ano/ne)</w:t>
            </w:r>
          </w:p>
        </w:tc>
        <w:tc>
          <w:tcPr>
            <w:tcW w:w="840" w:type="pct"/>
            <w:tcBorders>
              <w:top w:val="single" w:sz="4" w:space="0" w:color="auto"/>
              <w:left w:val="nil"/>
              <w:bottom w:val="single" w:sz="4" w:space="0" w:color="auto"/>
              <w:right w:val="single" w:sz="4" w:space="0" w:color="auto"/>
            </w:tcBorders>
            <w:shd w:val="clear" w:color="auto" w:fill="C0C0C0"/>
            <w:vAlign w:val="center"/>
            <w:hideMark/>
          </w:tcPr>
          <w:p w14:paraId="3364C636" w14:textId="0332C964" w:rsidR="0082272F" w:rsidRPr="00727F33" w:rsidRDefault="0082272F" w:rsidP="0082272F">
            <w:pPr>
              <w:spacing w:after="0" w:line="240" w:lineRule="auto"/>
              <w:jc w:val="center"/>
              <w:rPr>
                <w:rFonts w:eastAsia="Times New Roman" w:cs="Calibri Light"/>
                <w:b/>
                <w:bCs/>
                <w:sz w:val="20"/>
                <w:szCs w:val="20"/>
                <w:lang w:eastAsia="cs-CZ"/>
              </w:rPr>
            </w:pPr>
            <w:r>
              <w:rPr>
                <w:rFonts w:cs="Calibri"/>
                <w:b/>
                <w:bCs/>
                <w:color w:val="000000" w:themeColor="text1"/>
                <w:sz w:val="20"/>
                <w:szCs w:val="20"/>
              </w:rPr>
              <w:t>Popis nabízeného plnění</w:t>
            </w:r>
          </w:p>
        </w:tc>
      </w:tr>
      <w:tr w:rsidR="00711A39" w:rsidRPr="00727F33" w14:paraId="23E95FB0"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bottom"/>
          </w:tcPr>
          <w:p w14:paraId="37C88D81" w14:textId="57ABD640" w:rsidR="00711A39" w:rsidRPr="00727F33" w:rsidRDefault="00711A39" w:rsidP="00711A39">
            <w:pPr>
              <w:spacing w:after="0" w:line="240" w:lineRule="auto"/>
              <w:rPr>
                <w:rFonts w:eastAsia="Times New Roman" w:cs="Calibri Light"/>
                <w:sz w:val="20"/>
                <w:szCs w:val="20"/>
                <w:lang w:eastAsia="cs-CZ"/>
              </w:rPr>
            </w:pPr>
            <w:r w:rsidRPr="00727F33">
              <w:rPr>
                <w:rFonts w:eastAsia="Times New Roman" w:cs="Calibri Light"/>
                <w:b/>
                <w:bCs/>
                <w:color w:val="000000"/>
                <w:sz w:val="20"/>
                <w:szCs w:val="20"/>
                <w:lang w:eastAsia="en-GB"/>
              </w:rPr>
              <w:t>Základní vlastnosti</w:t>
            </w:r>
          </w:p>
        </w:tc>
      </w:tr>
      <w:tr w:rsidR="001F71BE" w:rsidRPr="00727F33" w14:paraId="45E1602B" w14:textId="77777777" w:rsidTr="39986556">
        <w:trPr>
          <w:trHeight w:val="288"/>
        </w:trPr>
        <w:tc>
          <w:tcPr>
            <w:tcW w:w="3266" w:type="pct"/>
            <w:tcBorders>
              <w:top w:val="nil"/>
              <w:left w:val="single" w:sz="4" w:space="0" w:color="auto"/>
              <w:bottom w:val="single" w:sz="4" w:space="0" w:color="auto"/>
              <w:right w:val="single" w:sz="4" w:space="0" w:color="auto"/>
            </w:tcBorders>
            <w:vAlign w:val="center"/>
            <w:hideMark/>
          </w:tcPr>
          <w:p w14:paraId="4B08A3E6" w14:textId="77777777" w:rsidR="001F71BE" w:rsidRPr="00727F33" w:rsidRDefault="001F71BE" w:rsidP="00605C25">
            <w:pP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podporovat funkce ochrany koncových stanic nové generace – EPP (</w:t>
            </w:r>
            <w:proofErr w:type="spellStart"/>
            <w:r w:rsidRPr="00727F33">
              <w:rPr>
                <w:rFonts w:eastAsia="Times New Roman" w:cs="Calibri Light"/>
                <w:color w:val="000000"/>
                <w:sz w:val="20"/>
                <w:szCs w:val="20"/>
                <w:lang w:eastAsia="cs-CZ"/>
              </w:rPr>
              <w:t>Endpoint</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Protection</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Platform</w:t>
            </w:r>
            <w:proofErr w:type="spellEnd"/>
            <w:r w:rsidRPr="00727F33">
              <w:rPr>
                <w:rFonts w:eastAsia="Times New Roman" w:cs="Calibri Light"/>
                <w:color w:val="000000"/>
                <w:sz w:val="20"/>
                <w:szCs w:val="20"/>
                <w:lang w:eastAsia="cs-CZ"/>
              </w:rPr>
              <w:t>) a EDR (</w:t>
            </w:r>
            <w:proofErr w:type="spellStart"/>
            <w:r w:rsidRPr="00727F33">
              <w:rPr>
                <w:rFonts w:eastAsia="Times New Roman" w:cs="Calibri Light"/>
                <w:color w:val="000000"/>
                <w:sz w:val="20"/>
                <w:szCs w:val="20"/>
                <w:lang w:eastAsia="cs-CZ"/>
              </w:rPr>
              <w:t>Endpoint</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Detection</w:t>
            </w:r>
            <w:proofErr w:type="spellEnd"/>
            <w:r w:rsidRPr="00727F33">
              <w:rPr>
                <w:rFonts w:eastAsia="Times New Roman" w:cs="Calibri Light"/>
                <w:color w:val="000000"/>
                <w:sz w:val="20"/>
                <w:szCs w:val="20"/>
                <w:lang w:eastAsia="cs-CZ"/>
              </w:rPr>
              <w:t xml:space="preserve"> and Response) v jediném samostatném agentovi, který ke své funkci nepotřebuje připojení ke cloudu nebo konzoli pro správu.</w:t>
            </w:r>
          </w:p>
        </w:tc>
        <w:tc>
          <w:tcPr>
            <w:tcW w:w="894" w:type="pct"/>
            <w:tcBorders>
              <w:top w:val="nil"/>
              <w:left w:val="nil"/>
              <w:bottom w:val="single" w:sz="4" w:space="0" w:color="auto"/>
              <w:right w:val="single" w:sz="4" w:space="0" w:color="auto"/>
            </w:tcBorders>
            <w:shd w:val="clear" w:color="auto" w:fill="FFFF00"/>
            <w:vAlign w:val="center"/>
          </w:tcPr>
          <w:p w14:paraId="25849AE7" w14:textId="7F0466FC" w:rsidR="001F71BE" w:rsidRPr="004F6934" w:rsidRDefault="00B86C4C" w:rsidP="00605C25">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w:t>
            </w:r>
            <w:r w:rsidR="00711A39" w:rsidRPr="004F6934">
              <w:rPr>
                <w:rFonts w:eastAsia="Times New Roman" w:cs="Calibri Light"/>
                <w:b/>
                <w:bCs/>
                <w:i/>
                <w:iCs/>
                <w:sz w:val="20"/>
                <w:szCs w:val="20"/>
                <w:lang w:eastAsia="cs-CZ"/>
              </w:rPr>
              <w:t xml:space="preserve"> účastník</w:t>
            </w:r>
          </w:p>
        </w:tc>
        <w:tc>
          <w:tcPr>
            <w:tcW w:w="840" w:type="pct"/>
            <w:tcBorders>
              <w:top w:val="nil"/>
              <w:left w:val="nil"/>
              <w:bottom w:val="single" w:sz="4" w:space="0" w:color="auto"/>
              <w:right w:val="single" w:sz="4" w:space="0" w:color="auto"/>
            </w:tcBorders>
            <w:shd w:val="clear" w:color="auto" w:fill="FFFF00"/>
            <w:noWrap/>
            <w:vAlign w:val="center"/>
            <w:hideMark/>
          </w:tcPr>
          <w:p w14:paraId="6B375C6B" w14:textId="191DA6C6" w:rsidR="001F71BE" w:rsidRPr="004F6934" w:rsidRDefault="00B86C4C" w:rsidP="00605C25">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w:t>
            </w:r>
            <w:r w:rsidR="00711A39" w:rsidRPr="004F6934">
              <w:rPr>
                <w:rFonts w:eastAsia="Times New Roman" w:cs="Calibri Light"/>
                <w:b/>
                <w:bCs/>
                <w:i/>
                <w:iCs/>
                <w:sz w:val="20"/>
                <w:szCs w:val="20"/>
                <w:lang w:eastAsia="cs-CZ"/>
              </w:rPr>
              <w:t xml:space="preserve"> účastník</w:t>
            </w:r>
          </w:p>
        </w:tc>
      </w:tr>
      <w:tr w:rsidR="00B86C4C" w:rsidRPr="00727F33" w14:paraId="1E1A9001" w14:textId="77777777" w:rsidTr="39986556">
        <w:trPr>
          <w:trHeight w:val="288"/>
        </w:trPr>
        <w:tc>
          <w:tcPr>
            <w:tcW w:w="3266" w:type="pct"/>
            <w:tcBorders>
              <w:top w:val="nil"/>
              <w:left w:val="single" w:sz="4" w:space="0" w:color="auto"/>
              <w:bottom w:val="single" w:sz="4" w:space="0" w:color="auto"/>
              <w:right w:val="single" w:sz="4" w:space="0" w:color="auto"/>
            </w:tcBorders>
            <w:vAlign w:val="center"/>
          </w:tcPr>
          <w:p w14:paraId="468AFF34" w14:textId="67EE0529" w:rsidR="00B86C4C" w:rsidRPr="00727F33" w:rsidRDefault="00B86C4C" w:rsidP="39986556">
            <w:pPr>
              <w:pBdr>
                <w:top w:val="nil"/>
                <w:left w:val="nil"/>
                <w:bottom w:val="nil"/>
                <w:right w:val="nil"/>
                <w:between w:val="nil"/>
              </w:pBdr>
              <w:spacing w:after="0" w:line="240" w:lineRule="auto"/>
              <w:jc w:val="both"/>
              <w:rPr>
                <w:rFonts w:eastAsia="Times New Roman" w:cs="Calibri Light"/>
                <w:color w:val="000000" w:themeColor="text1"/>
                <w:sz w:val="20"/>
                <w:szCs w:val="20"/>
                <w:lang w:eastAsia="cs-CZ"/>
              </w:rPr>
            </w:pPr>
          </w:p>
          <w:p w14:paraId="72332FA7" w14:textId="4BB99914" w:rsidR="00B86C4C" w:rsidRPr="00727F33" w:rsidRDefault="77F1F034" w:rsidP="00622BBA">
            <w:pPr>
              <w:pBdr>
                <w:top w:val="nil"/>
                <w:left w:val="nil"/>
                <w:bottom w:val="nil"/>
                <w:right w:val="nil"/>
                <w:between w:val="nil"/>
              </w:pBdr>
              <w:spacing w:after="0" w:line="240" w:lineRule="auto"/>
              <w:jc w:val="both"/>
              <w:rPr>
                <w:rFonts w:ascii="Aptos" w:eastAsia="Aptos" w:hAnsi="Aptos" w:cs="Aptos"/>
                <w:sz w:val="20"/>
                <w:szCs w:val="20"/>
              </w:rPr>
            </w:pPr>
            <w:r w:rsidRPr="39986556">
              <w:rPr>
                <w:rFonts w:ascii="Aptos" w:eastAsia="Aptos" w:hAnsi="Aptos" w:cs="Aptos"/>
                <w:sz w:val="20"/>
                <w:szCs w:val="20"/>
              </w:rPr>
              <w:t>Řešení musí být kompatibilní se stávajícím operačním prostředím zadavatele a podporovat běžně používané desktopové a serverové operační systémy, případně jejich rovnocenné alternativy.</w:t>
            </w:r>
          </w:p>
        </w:tc>
        <w:tc>
          <w:tcPr>
            <w:tcW w:w="894" w:type="pct"/>
            <w:tcBorders>
              <w:top w:val="nil"/>
              <w:left w:val="nil"/>
              <w:bottom w:val="single" w:sz="4" w:space="0" w:color="auto"/>
              <w:right w:val="single" w:sz="4" w:space="0" w:color="auto"/>
            </w:tcBorders>
            <w:shd w:val="clear" w:color="auto" w:fill="FFFF00"/>
            <w:vAlign w:val="center"/>
          </w:tcPr>
          <w:p w14:paraId="30B8184C" w14:textId="3E3788C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nil"/>
              <w:left w:val="nil"/>
              <w:bottom w:val="single" w:sz="4" w:space="0" w:color="auto"/>
              <w:right w:val="single" w:sz="4" w:space="0" w:color="auto"/>
            </w:tcBorders>
            <w:shd w:val="clear" w:color="auto" w:fill="FFFF00"/>
            <w:noWrap/>
            <w:vAlign w:val="center"/>
            <w:hideMark/>
          </w:tcPr>
          <w:p w14:paraId="2188F48D" w14:textId="73882D1C"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1FC68198" w14:textId="77777777" w:rsidTr="39986556">
        <w:trPr>
          <w:trHeight w:val="288"/>
        </w:trPr>
        <w:tc>
          <w:tcPr>
            <w:tcW w:w="3266" w:type="pct"/>
            <w:tcBorders>
              <w:top w:val="nil"/>
              <w:left w:val="single" w:sz="4" w:space="0" w:color="auto"/>
              <w:bottom w:val="single" w:sz="4" w:space="0" w:color="auto"/>
              <w:right w:val="single" w:sz="4" w:space="0" w:color="auto"/>
            </w:tcBorders>
            <w:vAlign w:val="center"/>
          </w:tcPr>
          <w:p w14:paraId="7C13347A" w14:textId="55A5FF4E" w:rsidR="00B86C4C" w:rsidRPr="00727F33" w:rsidRDefault="00B86C4C" w:rsidP="39986556">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39986556">
              <w:rPr>
                <w:rFonts w:eastAsia="Times New Roman" w:cs="Calibri Light"/>
                <w:color w:val="000000" w:themeColor="text1"/>
                <w:sz w:val="20"/>
                <w:szCs w:val="20"/>
                <w:lang w:eastAsia="cs-CZ"/>
              </w:rPr>
              <w:t xml:space="preserve">Dodaná licence musí poskytnou ochranu minimálně </w:t>
            </w:r>
            <w:r w:rsidR="4ACC9223" w:rsidRPr="39986556">
              <w:rPr>
                <w:rFonts w:eastAsia="Times New Roman" w:cs="Calibri Light"/>
                <w:color w:val="000000" w:themeColor="text1"/>
                <w:sz w:val="20"/>
                <w:szCs w:val="20"/>
                <w:lang w:eastAsia="cs-CZ"/>
              </w:rPr>
              <w:t>90</w:t>
            </w:r>
            <w:r w:rsidRPr="39986556">
              <w:rPr>
                <w:rFonts w:eastAsia="Times New Roman" w:cs="Calibri Light"/>
                <w:color w:val="000000" w:themeColor="text1"/>
                <w:sz w:val="20"/>
                <w:szCs w:val="20"/>
                <w:lang w:eastAsia="cs-CZ"/>
              </w:rPr>
              <w:t xml:space="preserve"> koncových stanic a </w:t>
            </w:r>
            <w:r w:rsidR="33EEC4C2" w:rsidRPr="39986556">
              <w:rPr>
                <w:rFonts w:eastAsia="Times New Roman" w:cs="Calibri Light"/>
                <w:color w:val="000000" w:themeColor="text1"/>
                <w:sz w:val="20"/>
                <w:szCs w:val="20"/>
                <w:lang w:eastAsia="cs-CZ"/>
              </w:rPr>
              <w:t>12</w:t>
            </w:r>
            <w:r w:rsidRPr="39986556">
              <w:rPr>
                <w:rFonts w:eastAsia="Times New Roman" w:cs="Calibri Light"/>
                <w:color w:val="000000" w:themeColor="text1"/>
                <w:sz w:val="20"/>
                <w:szCs w:val="20"/>
                <w:lang w:eastAsia="cs-CZ"/>
              </w:rPr>
              <w:t xml:space="preserve"> serverů a to po dobu minimálně 3 let</w:t>
            </w:r>
          </w:p>
        </w:tc>
        <w:tc>
          <w:tcPr>
            <w:tcW w:w="894" w:type="pct"/>
            <w:tcBorders>
              <w:top w:val="nil"/>
              <w:left w:val="nil"/>
              <w:bottom w:val="single" w:sz="4" w:space="0" w:color="auto"/>
              <w:right w:val="single" w:sz="4" w:space="0" w:color="auto"/>
            </w:tcBorders>
            <w:shd w:val="clear" w:color="auto" w:fill="FFFF00"/>
            <w:vAlign w:val="center"/>
          </w:tcPr>
          <w:p w14:paraId="07D11C6B" w14:textId="4A37890D"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nil"/>
              <w:left w:val="nil"/>
              <w:bottom w:val="single" w:sz="4" w:space="0" w:color="auto"/>
              <w:right w:val="single" w:sz="4" w:space="0" w:color="auto"/>
            </w:tcBorders>
            <w:shd w:val="clear" w:color="auto" w:fill="FFFF00"/>
            <w:noWrap/>
            <w:vAlign w:val="center"/>
          </w:tcPr>
          <w:p w14:paraId="7C3BDE27" w14:textId="4F91978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536809A" w14:textId="77777777" w:rsidTr="39986556">
        <w:trPr>
          <w:trHeight w:val="288"/>
        </w:trPr>
        <w:tc>
          <w:tcPr>
            <w:tcW w:w="3266" w:type="pct"/>
            <w:tcBorders>
              <w:top w:val="nil"/>
              <w:left w:val="single" w:sz="4" w:space="0" w:color="auto"/>
              <w:bottom w:val="single" w:sz="4" w:space="0" w:color="auto"/>
              <w:right w:val="single" w:sz="4" w:space="0" w:color="auto"/>
            </w:tcBorders>
            <w:vAlign w:val="center"/>
          </w:tcPr>
          <w:p w14:paraId="1D666EC6"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Implementace dodaného řešení musí být v souladu s nařízením GDPR</w:t>
            </w:r>
          </w:p>
        </w:tc>
        <w:tc>
          <w:tcPr>
            <w:tcW w:w="894" w:type="pct"/>
            <w:tcBorders>
              <w:top w:val="nil"/>
              <w:left w:val="nil"/>
              <w:bottom w:val="single" w:sz="4" w:space="0" w:color="auto"/>
              <w:right w:val="single" w:sz="4" w:space="0" w:color="auto"/>
            </w:tcBorders>
            <w:shd w:val="clear" w:color="auto" w:fill="FFFF00"/>
            <w:vAlign w:val="center"/>
          </w:tcPr>
          <w:p w14:paraId="7DB47180" w14:textId="1F7008A4"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nil"/>
              <w:left w:val="nil"/>
              <w:bottom w:val="single" w:sz="4" w:space="0" w:color="auto"/>
              <w:right w:val="single" w:sz="4" w:space="0" w:color="auto"/>
            </w:tcBorders>
            <w:shd w:val="clear" w:color="auto" w:fill="FFFF00"/>
            <w:noWrap/>
            <w:vAlign w:val="center"/>
          </w:tcPr>
          <w:p w14:paraId="0E7337F6" w14:textId="28083E31" w:rsidR="00B86C4C" w:rsidRPr="004F6934" w:rsidRDefault="00B86C4C" w:rsidP="00B86C4C">
            <w:pPr>
              <w:spacing w:after="0" w:line="240" w:lineRule="auto"/>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08E230B2" w14:textId="77777777" w:rsidTr="39986556">
        <w:trPr>
          <w:trHeight w:val="288"/>
        </w:trPr>
        <w:tc>
          <w:tcPr>
            <w:tcW w:w="3266" w:type="pct"/>
            <w:tcBorders>
              <w:top w:val="nil"/>
              <w:left w:val="single" w:sz="4" w:space="0" w:color="auto"/>
              <w:bottom w:val="single" w:sz="4" w:space="0" w:color="auto"/>
              <w:right w:val="single" w:sz="4" w:space="0" w:color="auto"/>
            </w:tcBorders>
            <w:vAlign w:val="center"/>
          </w:tcPr>
          <w:p w14:paraId="46F0828A"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podporovat architekturu </w:t>
            </w:r>
            <w:proofErr w:type="spellStart"/>
            <w:r w:rsidRPr="00727F33">
              <w:rPr>
                <w:rFonts w:eastAsia="Times New Roman" w:cs="Calibri Light"/>
                <w:color w:val="000000"/>
                <w:sz w:val="20"/>
                <w:szCs w:val="20"/>
                <w:lang w:eastAsia="cs-CZ"/>
              </w:rPr>
              <w:t>Multi-Site</w:t>
            </w:r>
            <w:proofErr w:type="spellEnd"/>
            <w:r w:rsidRPr="00727F33">
              <w:rPr>
                <w:rFonts w:eastAsia="Times New Roman" w:cs="Calibri Light"/>
                <w:color w:val="000000"/>
                <w:sz w:val="20"/>
                <w:szCs w:val="20"/>
                <w:lang w:eastAsia="cs-CZ"/>
              </w:rPr>
              <w:t xml:space="preserve"> nebo </w:t>
            </w:r>
            <w:proofErr w:type="spellStart"/>
            <w:r w:rsidRPr="00727F33">
              <w:rPr>
                <w:rFonts w:eastAsia="Times New Roman" w:cs="Calibri Light"/>
                <w:color w:val="000000"/>
                <w:sz w:val="20"/>
                <w:szCs w:val="20"/>
                <w:lang w:eastAsia="cs-CZ"/>
              </w:rPr>
              <w:t>Multi-Tenancy</w:t>
            </w:r>
            <w:proofErr w:type="spellEnd"/>
            <w:r w:rsidRPr="00727F33">
              <w:rPr>
                <w:rFonts w:eastAsia="Times New Roman" w:cs="Calibri Light"/>
                <w:color w:val="000000"/>
                <w:sz w:val="20"/>
                <w:szCs w:val="20"/>
                <w:lang w:eastAsia="cs-CZ"/>
              </w:rPr>
              <w:t xml:space="preserve">, aby bylo možné zcela oddělit instance vytvořené v systému a poskytnout odpovídající přístup pro správu ke konkrétnímu umístění vytvořenému podle modelu </w:t>
            </w:r>
            <w:proofErr w:type="spellStart"/>
            <w:r w:rsidRPr="00727F33">
              <w:rPr>
                <w:rFonts w:eastAsia="Times New Roman" w:cs="Calibri Light"/>
                <w:color w:val="000000"/>
                <w:sz w:val="20"/>
                <w:szCs w:val="20"/>
                <w:lang w:eastAsia="cs-CZ"/>
              </w:rPr>
              <w:t>Multi-Site</w:t>
            </w:r>
            <w:proofErr w:type="spellEnd"/>
            <w:r w:rsidRPr="00727F33">
              <w:rPr>
                <w:rFonts w:eastAsia="Times New Roman" w:cs="Calibri Light"/>
                <w:color w:val="000000"/>
                <w:sz w:val="20"/>
                <w:szCs w:val="20"/>
                <w:lang w:eastAsia="cs-CZ"/>
              </w:rPr>
              <w:t xml:space="preserve"> / </w:t>
            </w:r>
            <w:proofErr w:type="spellStart"/>
            <w:r w:rsidRPr="00727F33">
              <w:rPr>
                <w:rFonts w:eastAsia="Times New Roman" w:cs="Calibri Light"/>
                <w:color w:val="000000"/>
                <w:sz w:val="20"/>
                <w:szCs w:val="20"/>
                <w:lang w:eastAsia="cs-CZ"/>
              </w:rPr>
              <w:t>Multi-Tenancy</w:t>
            </w:r>
            <w:proofErr w:type="spellEnd"/>
            <w:r w:rsidRPr="00727F33">
              <w:rPr>
                <w:rFonts w:eastAsia="Times New Roman" w:cs="Calibri Light"/>
                <w:color w:val="000000"/>
                <w:sz w:val="20"/>
                <w:szCs w:val="20"/>
                <w:lang w:eastAsia="cs-CZ"/>
              </w:rPr>
              <w:t>.</w:t>
            </w:r>
          </w:p>
        </w:tc>
        <w:tc>
          <w:tcPr>
            <w:tcW w:w="894" w:type="pct"/>
            <w:tcBorders>
              <w:top w:val="nil"/>
              <w:left w:val="nil"/>
              <w:bottom w:val="single" w:sz="4" w:space="0" w:color="auto"/>
              <w:right w:val="single" w:sz="4" w:space="0" w:color="auto"/>
            </w:tcBorders>
            <w:shd w:val="clear" w:color="auto" w:fill="FFFF00"/>
            <w:vAlign w:val="center"/>
          </w:tcPr>
          <w:p w14:paraId="13CCC5DF" w14:textId="5F46A3A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nil"/>
              <w:left w:val="nil"/>
              <w:bottom w:val="single" w:sz="4" w:space="0" w:color="auto"/>
              <w:right w:val="single" w:sz="4" w:space="0" w:color="auto"/>
            </w:tcBorders>
            <w:shd w:val="clear" w:color="auto" w:fill="FFFF00"/>
            <w:noWrap/>
            <w:vAlign w:val="center"/>
          </w:tcPr>
          <w:p w14:paraId="31CFB868" w14:textId="340062C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2B005198" w14:textId="77777777" w:rsidTr="39986556">
        <w:trPr>
          <w:trHeight w:val="288"/>
        </w:trPr>
        <w:tc>
          <w:tcPr>
            <w:tcW w:w="3266" w:type="pct"/>
            <w:tcBorders>
              <w:top w:val="nil"/>
              <w:left w:val="single" w:sz="4" w:space="0" w:color="auto"/>
              <w:bottom w:val="single" w:sz="4" w:space="0" w:color="auto"/>
              <w:right w:val="single" w:sz="4" w:space="0" w:color="auto"/>
            </w:tcBorders>
            <w:vAlign w:val="center"/>
          </w:tcPr>
          <w:p w14:paraId="6872D801"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podporovat ověřování SSO – SAMLv2.</w:t>
            </w:r>
          </w:p>
        </w:tc>
        <w:tc>
          <w:tcPr>
            <w:tcW w:w="894" w:type="pct"/>
            <w:tcBorders>
              <w:top w:val="nil"/>
              <w:left w:val="nil"/>
              <w:bottom w:val="single" w:sz="4" w:space="0" w:color="auto"/>
              <w:right w:val="single" w:sz="4" w:space="0" w:color="auto"/>
            </w:tcBorders>
            <w:shd w:val="clear" w:color="auto" w:fill="FFFF00"/>
            <w:vAlign w:val="center"/>
          </w:tcPr>
          <w:p w14:paraId="18D5992C" w14:textId="0DDA5FD6"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nil"/>
              <w:left w:val="nil"/>
              <w:bottom w:val="single" w:sz="4" w:space="0" w:color="auto"/>
              <w:right w:val="single" w:sz="4" w:space="0" w:color="auto"/>
            </w:tcBorders>
            <w:shd w:val="clear" w:color="auto" w:fill="FFFF00"/>
            <w:noWrap/>
            <w:vAlign w:val="center"/>
            <w:hideMark/>
          </w:tcPr>
          <w:p w14:paraId="5561FBA8" w14:textId="0D9B4BA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9044948" w14:textId="77777777" w:rsidTr="39986556">
        <w:trPr>
          <w:trHeight w:val="288"/>
        </w:trPr>
        <w:tc>
          <w:tcPr>
            <w:tcW w:w="3266" w:type="pct"/>
            <w:tcBorders>
              <w:top w:val="nil"/>
              <w:left w:val="single" w:sz="4" w:space="0" w:color="auto"/>
              <w:bottom w:val="single" w:sz="4" w:space="0" w:color="auto"/>
              <w:right w:val="single" w:sz="4" w:space="0" w:color="auto"/>
            </w:tcBorders>
            <w:vAlign w:val="center"/>
          </w:tcPr>
          <w:p w14:paraId="46470DD5" w14:textId="267EDE5B" w:rsidR="00B86C4C" w:rsidRPr="00727F33" w:rsidRDefault="00B86C4C" w:rsidP="7FBF6C70">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7FBF6C70">
              <w:rPr>
                <w:rFonts w:eastAsia="Times New Roman" w:cs="Calibri Light"/>
                <w:color w:val="000000" w:themeColor="text1"/>
                <w:sz w:val="20"/>
                <w:szCs w:val="20"/>
                <w:lang w:eastAsia="cs-CZ"/>
              </w:rPr>
              <w:t xml:space="preserve">Řešení musí podporovat dvou faktorovou autentizaci (2FA) pro přístup správce </w:t>
            </w:r>
            <w:r w:rsidR="007224E2" w:rsidRPr="007224E2">
              <w:rPr>
                <w:rFonts w:eastAsia="Times New Roman" w:cs="Calibri Light"/>
                <w:color w:val="000000" w:themeColor="text1"/>
                <w:sz w:val="20"/>
                <w:szCs w:val="20"/>
                <w:lang w:eastAsia="cs-CZ"/>
              </w:rPr>
              <w:t>prostřednictvím běžně používané mobilní autentizační aplikace podporující standard TOTP pro generování časově omezených jednorázových kódů</w:t>
            </w:r>
            <w:r w:rsidR="00FC508E" w:rsidRPr="00FC508E">
              <w:rPr>
                <w:rFonts w:eastAsia="Times New Roman" w:cs="Calibri Light"/>
                <w:color w:val="000000" w:themeColor="text1"/>
                <w:sz w:val="20"/>
                <w:szCs w:val="20"/>
                <w:lang w:eastAsia="cs-CZ"/>
              </w:rPr>
              <w:t xml:space="preserve">. </w:t>
            </w:r>
          </w:p>
        </w:tc>
        <w:tc>
          <w:tcPr>
            <w:tcW w:w="894" w:type="pct"/>
            <w:tcBorders>
              <w:top w:val="nil"/>
              <w:left w:val="nil"/>
              <w:bottom w:val="single" w:sz="4" w:space="0" w:color="auto"/>
              <w:right w:val="single" w:sz="4" w:space="0" w:color="auto"/>
            </w:tcBorders>
            <w:shd w:val="clear" w:color="auto" w:fill="FFFF00"/>
            <w:vAlign w:val="center"/>
          </w:tcPr>
          <w:p w14:paraId="2EEA8783" w14:textId="19B2981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nil"/>
              <w:left w:val="nil"/>
              <w:bottom w:val="single" w:sz="4" w:space="0" w:color="auto"/>
              <w:right w:val="single" w:sz="4" w:space="0" w:color="auto"/>
            </w:tcBorders>
            <w:shd w:val="clear" w:color="auto" w:fill="FFFF00"/>
            <w:noWrap/>
            <w:vAlign w:val="center"/>
          </w:tcPr>
          <w:p w14:paraId="765D6BFA" w14:textId="73809FCF"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09FEA8F7"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347C4BEA"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obsahovat konzoli pro správu zobrazující všechny počítače s možností filtrovat je na základě atributů, jako je například operační systém, typ koncové stanice, verze agenta, přítomné zranitelnosti, atributy AD, telemetrické informace, IP adresování, hardwarové vlastnosti, počty procesorů, MAC adresy, síťová rozhraní, název hostitele, název skupiny, doména). Tyto atributy musí jít vybírat ze seznamu. Jednotlivé akce musí jít použít na takto vytvořené podmnožiny koncových stanic. A z těchto podmnožin musí jít vytvářet </w:t>
            </w:r>
            <w:r w:rsidRPr="00727F33">
              <w:rPr>
                <w:rFonts w:eastAsia="Times New Roman" w:cs="Calibri Light"/>
                <w:color w:val="000000"/>
                <w:sz w:val="20"/>
                <w:szCs w:val="20"/>
                <w:lang w:eastAsia="cs-CZ"/>
              </w:rPr>
              <w:lastRenderedPageBreak/>
              <w:t>skupiny, na které je poté možné aplikovat akce. Dále musí toto rozhraní poskytovat možnost zobrazení podrobností o jednotlivé stanici, jako například podrobnosti o telemetrii, stavu stanice, nainstalovaných aplikacích, a poskytnout následující možnosti akcí: Odpojit/Připojit stanici od sítě, Restartovat stanici, Vypnout stanici, Odeslat zprávu uživateli, Odinstalovat agenta, Zobrazit hrozby.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F79141F" w14:textId="287FCE06"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lastRenderedPageBreak/>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0305A103" w14:textId="4A0F7F8A"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1D8BF0D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9A4BA0B"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Bezpečnostní politika musí poskytovat možnost povolit nebo zakázat jednotlivé detekční moduly. Tato volba není vyžadována pro </w:t>
            </w:r>
            <w:proofErr w:type="spellStart"/>
            <w:r w:rsidRPr="00727F33">
              <w:rPr>
                <w:rFonts w:eastAsia="Times New Roman" w:cs="Calibri Light"/>
                <w:color w:val="000000"/>
                <w:sz w:val="20"/>
                <w:szCs w:val="20"/>
                <w:lang w:eastAsia="cs-CZ"/>
              </w:rPr>
              <w:t>reputation</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engine</w:t>
            </w:r>
            <w:proofErr w:type="spellEnd"/>
            <w:r w:rsidRPr="00727F33">
              <w:rPr>
                <w:rFonts w:eastAsia="Times New Roman" w:cs="Calibri Light"/>
                <w:color w:val="000000"/>
                <w:sz w:val="20"/>
                <w:szCs w:val="20"/>
                <w:lang w:eastAsia="cs-CZ"/>
              </w:rPr>
              <w:t>.</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F81E5D9" w14:textId="47615B8D"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055B6059" w14:textId="7D021945"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030F8E62"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1CA3AFB8"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poskytovat možnost odesílat textové zprávy uživateli koncové stanice přímo z konzole pro správu, a to i v případě, že agent běží na stanici, která je v režimu izolace sítě / karantény sítě.</w:t>
            </w:r>
          </w:p>
        </w:tc>
        <w:tc>
          <w:tcPr>
            <w:tcW w:w="894" w:type="pct"/>
            <w:tcBorders>
              <w:top w:val="single" w:sz="4" w:space="0" w:color="auto"/>
              <w:left w:val="nil"/>
              <w:bottom w:val="single" w:sz="4" w:space="0" w:color="auto"/>
              <w:right w:val="single" w:sz="4" w:space="0" w:color="auto"/>
            </w:tcBorders>
            <w:shd w:val="clear" w:color="auto" w:fill="FFFF00"/>
            <w:vAlign w:val="center"/>
          </w:tcPr>
          <w:p w14:paraId="4E98D51F" w14:textId="54905F3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834F7B4" w14:textId="41A23B5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FD4F4E3"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6D5FEDA"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poskytovat silný mechanismus ochrany před neoprávněnou manipulací se softwarem (Anti-</w:t>
            </w:r>
            <w:proofErr w:type="spellStart"/>
            <w:r w:rsidRPr="00727F33">
              <w:rPr>
                <w:rFonts w:eastAsia="Times New Roman" w:cs="Calibri Light"/>
                <w:color w:val="000000"/>
                <w:sz w:val="20"/>
                <w:szCs w:val="20"/>
                <w:lang w:eastAsia="cs-CZ"/>
              </w:rPr>
              <w:t>Tamper</w:t>
            </w:r>
            <w:proofErr w:type="spellEnd"/>
            <w:r w:rsidRPr="00727F33">
              <w:rPr>
                <w:rFonts w:eastAsia="Times New Roman" w:cs="Calibri Light"/>
                <w:color w:val="000000"/>
                <w:sz w:val="20"/>
                <w:szCs w:val="20"/>
                <w:lang w:eastAsia="cs-CZ"/>
              </w:rPr>
              <w:t>). A to jak malwarem, tak koncovým uživatelem. Tento mechanismus musí být chráněn jedinečným heslem pro každý koncový počítač. Ochrana před neoprávněnou manipulací by měla být konfigurovatelnou možností v bezpečnostních politikách.</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A9E9BFB" w14:textId="07CA66F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1D2D228" w14:textId="7ADC278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4A2AEE5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7C396B0"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podporovat možnost vytváření vlastních detekčních pravidel. Například transformovat dotazy nad EDR/XDR daty na pravidla. Tato pravidla mohou dále aktivovat výstrahy a automatické akce při opětovné detekci definovaného chování.</w:t>
            </w:r>
          </w:p>
        </w:tc>
        <w:tc>
          <w:tcPr>
            <w:tcW w:w="894" w:type="pct"/>
            <w:tcBorders>
              <w:top w:val="single" w:sz="4" w:space="0" w:color="auto"/>
              <w:left w:val="nil"/>
              <w:bottom w:val="single" w:sz="4" w:space="0" w:color="auto"/>
              <w:right w:val="single" w:sz="4" w:space="0" w:color="auto"/>
            </w:tcBorders>
            <w:shd w:val="clear" w:color="auto" w:fill="FFFF00"/>
            <w:vAlign w:val="center"/>
          </w:tcPr>
          <w:p w14:paraId="757898D4" w14:textId="6AE66406"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E8BF461" w14:textId="23983AAF"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3E7B6221"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C06C69D"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být schopno identifikovat pokročilé hrozby, jako jsou 0-day, </w:t>
            </w:r>
            <w:proofErr w:type="spellStart"/>
            <w:r w:rsidRPr="00727F33">
              <w:rPr>
                <w:rFonts w:eastAsia="Times New Roman" w:cs="Calibri Light"/>
                <w:color w:val="000000"/>
                <w:sz w:val="20"/>
                <w:szCs w:val="20"/>
                <w:lang w:eastAsia="cs-CZ"/>
              </w:rPr>
              <w:t>fileless</w:t>
            </w:r>
            <w:proofErr w:type="spellEnd"/>
            <w:r w:rsidRPr="00727F33">
              <w:rPr>
                <w:rFonts w:eastAsia="Times New Roman" w:cs="Calibri Light"/>
                <w:color w:val="000000"/>
                <w:sz w:val="20"/>
                <w:szCs w:val="20"/>
                <w:lang w:eastAsia="cs-CZ"/>
              </w:rPr>
              <w:t xml:space="preserve"> a RAM-</w:t>
            </w:r>
            <w:proofErr w:type="spellStart"/>
            <w:r w:rsidRPr="00727F33">
              <w:rPr>
                <w:rFonts w:eastAsia="Times New Roman" w:cs="Calibri Light"/>
                <w:color w:val="000000"/>
                <w:sz w:val="20"/>
                <w:szCs w:val="20"/>
                <w:lang w:eastAsia="cs-CZ"/>
              </w:rPr>
              <w:t>based</w:t>
            </w:r>
            <w:proofErr w:type="spellEnd"/>
            <w:r w:rsidRPr="00727F33">
              <w:rPr>
                <w:rFonts w:eastAsia="Times New Roman" w:cs="Calibri Light"/>
                <w:color w:val="000000"/>
                <w:sz w:val="20"/>
                <w:szCs w:val="20"/>
                <w:lang w:eastAsia="cs-CZ"/>
              </w:rPr>
              <w:t xml:space="preserve"> útoky, 0-Day </w:t>
            </w:r>
            <w:proofErr w:type="spellStart"/>
            <w:r w:rsidRPr="00727F33">
              <w:rPr>
                <w:rFonts w:eastAsia="Times New Roman" w:cs="Calibri Light"/>
                <w:color w:val="000000"/>
                <w:sz w:val="20"/>
                <w:szCs w:val="20"/>
                <w:lang w:eastAsia="cs-CZ"/>
              </w:rPr>
              <w:t>Exploity</w:t>
            </w:r>
            <w:proofErr w:type="spellEnd"/>
            <w:r w:rsidRPr="00727F33">
              <w:rPr>
                <w:rFonts w:eastAsia="Times New Roman" w:cs="Calibri Light"/>
                <w:color w:val="000000"/>
                <w:sz w:val="20"/>
                <w:szCs w:val="20"/>
                <w:lang w:eastAsia="cs-CZ"/>
              </w:rPr>
              <w:t xml:space="preserve">, ransomware, </w:t>
            </w:r>
            <w:proofErr w:type="spellStart"/>
            <w:r w:rsidRPr="00727F33">
              <w:rPr>
                <w:rFonts w:eastAsia="Times New Roman" w:cs="Calibri Light"/>
                <w:color w:val="000000"/>
                <w:sz w:val="20"/>
                <w:szCs w:val="20"/>
                <w:lang w:eastAsia="cs-CZ"/>
              </w:rPr>
              <w:t>cryptominers</w:t>
            </w:r>
            <w:proofErr w:type="spellEnd"/>
            <w:r w:rsidRPr="00727F33">
              <w:rPr>
                <w:rFonts w:eastAsia="Times New Roman" w:cs="Calibri Light"/>
                <w:color w:val="000000"/>
                <w:sz w:val="20"/>
                <w:szCs w:val="20"/>
                <w:lang w:eastAsia="cs-CZ"/>
              </w:rPr>
              <w:t xml:space="preserve">, laterální pohyb nebo zneužití zranitelností ve vlastněném softwaru/hardwaru bez použití reputačních </w:t>
            </w:r>
            <w:proofErr w:type="spellStart"/>
            <w:r w:rsidRPr="00727F33">
              <w:rPr>
                <w:rFonts w:eastAsia="Times New Roman" w:cs="Calibri Light"/>
                <w:color w:val="000000"/>
                <w:sz w:val="20"/>
                <w:szCs w:val="20"/>
                <w:lang w:eastAsia="cs-CZ"/>
              </w:rPr>
              <w:t>enginů</w:t>
            </w:r>
            <w:proofErr w:type="spellEnd"/>
            <w:r w:rsidRPr="00727F33">
              <w:rPr>
                <w:rFonts w:eastAsia="Times New Roman" w:cs="Calibri Light"/>
                <w:color w:val="000000"/>
                <w:sz w:val="20"/>
                <w:szCs w:val="20"/>
                <w:lang w:eastAsia="cs-CZ"/>
              </w:rPr>
              <w:t xml:space="preserve"> nebo detekčních modulů založených na signaturách. Reputačním </w:t>
            </w:r>
            <w:proofErr w:type="spellStart"/>
            <w:r w:rsidRPr="00727F33">
              <w:rPr>
                <w:rFonts w:eastAsia="Times New Roman" w:cs="Calibri Light"/>
                <w:color w:val="000000"/>
                <w:sz w:val="20"/>
                <w:szCs w:val="20"/>
                <w:lang w:eastAsia="cs-CZ"/>
              </w:rPr>
              <w:t>enginem</w:t>
            </w:r>
            <w:proofErr w:type="spellEnd"/>
            <w:r w:rsidRPr="00727F33">
              <w:rPr>
                <w:rFonts w:eastAsia="Times New Roman" w:cs="Calibri Light"/>
                <w:color w:val="000000"/>
                <w:sz w:val="20"/>
                <w:szCs w:val="20"/>
                <w:lang w:eastAsia="cs-CZ"/>
              </w:rPr>
              <w:t xml:space="preserve"> rozumíme identifikaci hrozeb pomocí následujících reputačních prvků: IP adresy, DNS, URL, zkratky/</w:t>
            </w:r>
            <w:proofErr w:type="spellStart"/>
            <w:r w:rsidRPr="00727F33">
              <w:rPr>
                <w:rFonts w:eastAsia="Times New Roman" w:cs="Calibri Light"/>
                <w:color w:val="000000"/>
                <w:sz w:val="20"/>
                <w:szCs w:val="20"/>
                <w:lang w:eastAsia="cs-CZ"/>
              </w:rPr>
              <w:t>hashe</w:t>
            </w:r>
            <w:proofErr w:type="spellEnd"/>
            <w:r w:rsidRPr="00727F33">
              <w:rPr>
                <w:rFonts w:eastAsia="Times New Roman" w:cs="Calibri Light"/>
                <w:color w:val="000000"/>
                <w:sz w:val="20"/>
                <w:szCs w:val="20"/>
                <w:lang w:eastAsia="cs-CZ"/>
              </w:rPr>
              <w:t>. Řešení musí využívat statické a dynamické algoritmy založené na umělé inteligenci k identifikaci hrozeb, včetně těch, které dosud nejsou známy.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AFE5FA8" w14:textId="221012D5"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6BA89C27" w14:textId="5DAF4540"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2A45C208" w14:textId="77777777" w:rsidTr="39986556">
        <w:trPr>
          <w:trHeight w:val="1073"/>
        </w:trPr>
        <w:tc>
          <w:tcPr>
            <w:tcW w:w="3266" w:type="pct"/>
            <w:tcBorders>
              <w:top w:val="single" w:sz="4" w:space="0" w:color="auto"/>
              <w:left w:val="single" w:sz="4" w:space="0" w:color="auto"/>
              <w:bottom w:val="single" w:sz="4" w:space="0" w:color="auto"/>
              <w:right w:val="single" w:sz="4" w:space="0" w:color="auto"/>
            </w:tcBorders>
            <w:vAlign w:val="center"/>
          </w:tcPr>
          <w:p w14:paraId="1E705D70"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být plně autonomní, což znamená, že provoz a funkčnost agentů nesmí záviset na serveru pro správu, cloudu nebo JAKÝCHKOLI externích zdrojích agenta. Detekce a reakce na pokročilé hrozby (například 0-day, </w:t>
            </w:r>
            <w:proofErr w:type="spellStart"/>
            <w:r w:rsidRPr="00727F33">
              <w:rPr>
                <w:rFonts w:eastAsia="Times New Roman" w:cs="Calibri Light"/>
                <w:color w:val="000000"/>
                <w:sz w:val="20"/>
                <w:szCs w:val="20"/>
                <w:lang w:eastAsia="cs-CZ"/>
              </w:rPr>
              <w:t>fileless</w:t>
            </w:r>
            <w:proofErr w:type="spellEnd"/>
            <w:r w:rsidRPr="00727F33">
              <w:rPr>
                <w:rFonts w:eastAsia="Times New Roman" w:cs="Calibri Light"/>
                <w:color w:val="000000"/>
                <w:sz w:val="20"/>
                <w:szCs w:val="20"/>
                <w:lang w:eastAsia="cs-CZ"/>
              </w:rPr>
              <w:t xml:space="preserve"> a RAM-</w:t>
            </w:r>
            <w:proofErr w:type="spellStart"/>
            <w:r w:rsidRPr="00727F33">
              <w:rPr>
                <w:rFonts w:eastAsia="Times New Roman" w:cs="Calibri Light"/>
                <w:color w:val="000000"/>
                <w:sz w:val="20"/>
                <w:szCs w:val="20"/>
                <w:lang w:eastAsia="cs-CZ"/>
              </w:rPr>
              <w:t>based</w:t>
            </w:r>
            <w:proofErr w:type="spellEnd"/>
            <w:r w:rsidRPr="00727F33">
              <w:rPr>
                <w:rFonts w:eastAsia="Times New Roman" w:cs="Calibri Light"/>
                <w:color w:val="000000"/>
                <w:sz w:val="20"/>
                <w:szCs w:val="20"/>
                <w:lang w:eastAsia="cs-CZ"/>
              </w:rPr>
              <w:t xml:space="preserve"> útoky, 0-Day </w:t>
            </w:r>
            <w:proofErr w:type="spellStart"/>
            <w:r w:rsidRPr="00727F33">
              <w:rPr>
                <w:rFonts w:eastAsia="Times New Roman" w:cs="Calibri Light"/>
                <w:color w:val="000000"/>
                <w:sz w:val="20"/>
                <w:szCs w:val="20"/>
                <w:lang w:eastAsia="cs-CZ"/>
              </w:rPr>
              <w:t>Exploity</w:t>
            </w:r>
            <w:proofErr w:type="spellEnd"/>
            <w:r w:rsidRPr="00727F33">
              <w:rPr>
                <w:rFonts w:eastAsia="Times New Roman" w:cs="Calibri Light"/>
                <w:color w:val="000000"/>
                <w:sz w:val="20"/>
                <w:szCs w:val="20"/>
                <w:lang w:eastAsia="cs-CZ"/>
              </w:rPr>
              <w:t xml:space="preserve">, ransomware, </w:t>
            </w:r>
            <w:proofErr w:type="spellStart"/>
            <w:r w:rsidRPr="00727F33">
              <w:rPr>
                <w:rFonts w:eastAsia="Times New Roman" w:cs="Calibri Light"/>
                <w:color w:val="000000"/>
                <w:sz w:val="20"/>
                <w:szCs w:val="20"/>
                <w:lang w:eastAsia="cs-CZ"/>
              </w:rPr>
              <w:t>cryptominers</w:t>
            </w:r>
            <w:proofErr w:type="spellEnd"/>
            <w:r w:rsidRPr="00727F33">
              <w:rPr>
                <w:rFonts w:eastAsia="Times New Roman" w:cs="Calibri Light"/>
                <w:color w:val="000000"/>
                <w:sz w:val="20"/>
                <w:szCs w:val="20"/>
                <w:lang w:eastAsia="cs-CZ"/>
              </w:rPr>
              <w:t xml:space="preserve"> nebo laterální pohyb) musí být možná v reálném čase, nesmí záviset na stavu sítě stanice (agent musí provádět stejnou funkcionalitu pokud je chráněná stanice online i </w:t>
            </w:r>
            <w:proofErr w:type="spellStart"/>
            <w:r w:rsidRPr="00727F33">
              <w:rPr>
                <w:rFonts w:eastAsia="Times New Roman" w:cs="Calibri Light"/>
                <w:color w:val="000000"/>
                <w:sz w:val="20"/>
                <w:szCs w:val="20"/>
                <w:lang w:eastAsia="cs-CZ"/>
              </w:rPr>
              <w:t>offline</w:t>
            </w:r>
            <w:proofErr w:type="spellEnd"/>
            <w:r w:rsidRPr="00727F33">
              <w:rPr>
                <w:rFonts w:eastAsia="Times New Roman" w:cs="Calibri Light"/>
                <w:color w:val="000000"/>
                <w:sz w:val="20"/>
                <w:szCs w:val="20"/>
                <w:lang w:eastAsia="cs-CZ"/>
              </w:rPr>
              <w:t>) a nesmí vyžadovat žádný jiný typ externích zdrojů.</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7BD562C" w14:textId="28009A3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59FB093" w14:textId="3A29146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0FB94C7D" w14:textId="77777777" w:rsidTr="39986556">
        <w:trPr>
          <w:trHeight w:val="1073"/>
        </w:trPr>
        <w:tc>
          <w:tcPr>
            <w:tcW w:w="3266" w:type="pct"/>
            <w:tcBorders>
              <w:top w:val="single" w:sz="4" w:space="0" w:color="auto"/>
              <w:left w:val="single" w:sz="4" w:space="0" w:color="auto"/>
              <w:bottom w:val="single" w:sz="4" w:space="0" w:color="auto"/>
              <w:right w:val="single" w:sz="4" w:space="0" w:color="auto"/>
            </w:tcBorders>
            <w:vAlign w:val="center"/>
          </w:tcPr>
          <w:p w14:paraId="51318373"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poskytovat plně automatizovanou a autonomní funkci pro navrácení změn způsobených </w:t>
            </w:r>
            <w:proofErr w:type="spellStart"/>
            <w:r w:rsidRPr="00727F33">
              <w:rPr>
                <w:rFonts w:eastAsia="Times New Roman" w:cs="Calibri Light"/>
                <w:color w:val="000000"/>
                <w:sz w:val="20"/>
                <w:szCs w:val="20"/>
                <w:lang w:eastAsia="cs-CZ"/>
              </w:rPr>
              <w:t>ransomwarem</w:t>
            </w:r>
            <w:proofErr w:type="spellEnd"/>
            <w:r w:rsidRPr="00727F33">
              <w:rPr>
                <w:rFonts w:eastAsia="Times New Roman" w:cs="Calibri Light"/>
                <w:color w:val="000000"/>
                <w:sz w:val="20"/>
                <w:szCs w:val="20"/>
                <w:lang w:eastAsia="cs-CZ"/>
              </w:rPr>
              <w:t>. V případě detekce útoku musí agent na koncové stanici, bez jakéhokoliv zásahu administrátora či spojení s cloudem, okamžitě ukončit škodlivý proces a všechny jeho podprocesy. Následně musí autonomně a v reálném čase vrátit všechny zašifrované, smazané či pozměněné soubory do jejich původního stavu s využitím nativních technologií operačního systému pro stínové kopie svazku (</w:t>
            </w:r>
            <w:proofErr w:type="spellStart"/>
            <w:r w:rsidRPr="00727F33">
              <w:rPr>
                <w:rFonts w:eastAsia="Times New Roman" w:cs="Calibri Light"/>
                <w:color w:val="000000"/>
                <w:sz w:val="20"/>
                <w:szCs w:val="20"/>
                <w:lang w:eastAsia="cs-CZ"/>
              </w:rPr>
              <w:t>Volume</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Shadow</w:t>
            </w:r>
            <w:proofErr w:type="spellEnd"/>
            <w:r w:rsidRPr="00727F33">
              <w:rPr>
                <w:rFonts w:eastAsia="Times New Roman" w:cs="Calibri Light"/>
                <w:color w:val="000000"/>
                <w:sz w:val="20"/>
                <w:szCs w:val="20"/>
                <w:lang w:eastAsia="cs-CZ"/>
              </w:rPr>
              <w:t xml:space="preserve"> Copy). Celý incident, od detekce přes reakci až po kompletní obnovu dat, musí být v konzoli pro správu prezentován jako jediná, automaticky zřetězená událost (</w:t>
            </w:r>
            <w:proofErr w:type="spellStart"/>
            <w:r w:rsidRPr="00727F33">
              <w:rPr>
                <w:rFonts w:eastAsia="Times New Roman" w:cs="Calibri Light"/>
                <w:color w:val="000000"/>
                <w:sz w:val="20"/>
                <w:szCs w:val="20"/>
                <w:lang w:eastAsia="cs-CZ"/>
              </w:rPr>
              <w:t>storyline</w:t>
            </w:r>
            <w:proofErr w:type="spellEnd"/>
            <w:r w:rsidRPr="00727F33">
              <w:rPr>
                <w:rFonts w:eastAsia="Times New Roman" w:cs="Calibri Light"/>
                <w:color w:val="000000"/>
                <w:sz w:val="20"/>
                <w:szCs w:val="20"/>
                <w:lang w:eastAsia="cs-CZ"/>
              </w:rPr>
              <w:t>) s jedinečným identifikátorem.</w:t>
            </w:r>
          </w:p>
        </w:tc>
        <w:tc>
          <w:tcPr>
            <w:tcW w:w="894" w:type="pct"/>
            <w:tcBorders>
              <w:top w:val="single" w:sz="4" w:space="0" w:color="auto"/>
              <w:left w:val="nil"/>
              <w:bottom w:val="single" w:sz="4" w:space="0" w:color="auto"/>
              <w:right w:val="single" w:sz="4" w:space="0" w:color="auto"/>
            </w:tcBorders>
            <w:shd w:val="clear" w:color="auto" w:fill="FFFF00"/>
            <w:vAlign w:val="center"/>
          </w:tcPr>
          <w:p w14:paraId="738CA4BF" w14:textId="4007F01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759928A6" w14:textId="0B9199B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65509B1A"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6611432" w14:textId="682BD460" w:rsidR="00B86C4C" w:rsidRPr="00727F33" w:rsidRDefault="00B86C4C" w:rsidP="00B86C4C">
            <w:pPr>
              <w:spacing w:after="0" w:line="240" w:lineRule="auto"/>
              <w:rPr>
                <w:rFonts w:eastAsia="Times New Roman" w:cs="Calibri Light"/>
                <w:sz w:val="20"/>
                <w:szCs w:val="20"/>
                <w:lang w:eastAsia="cs-CZ"/>
              </w:rPr>
            </w:pPr>
            <w:r w:rsidRPr="00727F33">
              <w:rPr>
                <w:rFonts w:cs="Calibri Light"/>
                <w:b/>
                <w:bCs/>
                <w:color w:val="000000"/>
                <w:sz w:val="20"/>
                <w:szCs w:val="20"/>
                <w:highlight w:val="white"/>
              </w:rPr>
              <w:t>Moduly EPP / EDR nabízené řešením musí automaticky reagovat na vznikající hrozby a zmírňovat jejich dopady v reálném čase, autonomním způsobem s následujícími možnostmi reakce na hrozby definovanými bezpečnostní politikou:</w:t>
            </w:r>
          </w:p>
        </w:tc>
      </w:tr>
      <w:tr w:rsidR="00B86C4C" w:rsidRPr="00727F33" w14:paraId="0EFDFA17"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05B2596"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i/>
                <w:iCs/>
                <w:color w:val="000000"/>
                <w:sz w:val="20"/>
                <w:szCs w:val="20"/>
                <w:lang w:eastAsia="cs-CZ"/>
              </w:rPr>
              <w:t>Upozornění</w:t>
            </w:r>
            <w:r w:rsidRPr="00727F33">
              <w:rPr>
                <w:rFonts w:eastAsia="Times New Roman" w:cs="Calibri Light"/>
                <w:color w:val="000000"/>
                <w:sz w:val="20"/>
                <w:szCs w:val="20"/>
                <w:lang w:eastAsia="cs-CZ"/>
              </w:rPr>
              <w:t>: Toto oznámení musí být konstantní, a to i v případě, že politika není v režimu ochrany.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23BDCFF9" w14:textId="22C7BB7C"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43E04D30" w14:textId="63704695"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605BF37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06FFB0E"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val="pl-PL" w:eastAsia="cs-CZ"/>
              </w:rPr>
            </w:pPr>
            <w:proofErr w:type="spellStart"/>
            <w:r w:rsidRPr="00727F33">
              <w:rPr>
                <w:rFonts w:eastAsia="Times New Roman" w:cs="Calibri Light"/>
                <w:i/>
                <w:iCs/>
                <w:color w:val="000000"/>
                <w:sz w:val="20"/>
                <w:szCs w:val="20"/>
                <w:lang w:val="pl-PL" w:eastAsia="cs-CZ"/>
              </w:rPr>
              <w:lastRenderedPageBreak/>
              <w:t>Ukončení</w:t>
            </w:r>
            <w:proofErr w:type="spellEnd"/>
            <w:r w:rsidRPr="00727F33">
              <w:rPr>
                <w:rFonts w:eastAsia="Times New Roman" w:cs="Calibri Light"/>
                <w:i/>
                <w:iCs/>
                <w:color w:val="000000"/>
                <w:sz w:val="20"/>
                <w:szCs w:val="20"/>
                <w:lang w:val="pl-PL" w:eastAsia="cs-CZ"/>
              </w:rPr>
              <w:t xml:space="preserve"> procesu</w:t>
            </w:r>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Zastaví</w:t>
            </w:r>
            <w:proofErr w:type="spellEnd"/>
            <w:r w:rsidRPr="00727F33">
              <w:rPr>
                <w:rFonts w:eastAsia="Times New Roman" w:cs="Calibri Light"/>
                <w:color w:val="000000"/>
                <w:sz w:val="20"/>
                <w:szCs w:val="20"/>
                <w:lang w:val="pl-PL" w:eastAsia="cs-CZ"/>
              </w:rPr>
              <w:t xml:space="preserve"> procesy. To </w:t>
            </w:r>
            <w:proofErr w:type="spellStart"/>
            <w:r w:rsidRPr="00727F33">
              <w:rPr>
                <w:rFonts w:eastAsia="Times New Roman" w:cs="Calibri Light"/>
                <w:color w:val="000000"/>
                <w:sz w:val="20"/>
                <w:szCs w:val="20"/>
                <w:lang w:val="pl-PL" w:eastAsia="cs-CZ"/>
              </w:rPr>
              <w:t>znamená</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že</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aktivního</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obsah</w:t>
            </w:r>
            <w:proofErr w:type="spellEnd"/>
            <w:r w:rsidRPr="00727F33">
              <w:rPr>
                <w:rFonts w:eastAsia="Times New Roman" w:cs="Calibri Light"/>
                <w:color w:val="000000"/>
                <w:sz w:val="20"/>
                <w:szCs w:val="20"/>
                <w:lang w:val="pl-PL" w:eastAsia="cs-CZ"/>
              </w:rPr>
              <w:t xml:space="preserve"> v </w:t>
            </w:r>
            <w:proofErr w:type="spellStart"/>
            <w:r w:rsidRPr="00727F33">
              <w:rPr>
                <w:rFonts w:eastAsia="Times New Roman" w:cs="Calibri Light"/>
                <w:color w:val="000000"/>
                <w:sz w:val="20"/>
                <w:szCs w:val="20"/>
                <w:lang w:val="pl-PL" w:eastAsia="cs-CZ"/>
              </w:rPr>
              <w:t>dokumentech</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spustitelných</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souborech</w:t>
            </w:r>
            <w:proofErr w:type="spellEnd"/>
            <w:r w:rsidRPr="00727F33">
              <w:rPr>
                <w:rFonts w:eastAsia="Times New Roman" w:cs="Calibri Light"/>
                <w:color w:val="000000"/>
                <w:sz w:val="20"/>
                <w:szCs w:val="20"/>
                <w:lang w:val="pl-PL" w:eastAsia="cs-CZ"/>
              </w:rPr>
              <w:t xml:space="preserve"> a </w:t>
            </w:r>
            <w:proofErr w:type="spellStart"/>
            <w:r w:rsidRPr="00727F33">
              <w:rPr>
                <w:rFonts w:eastAsia="Times New Roman" w:cs="Calibri Light"/>
                <w:color w:val="000000"/>
                <w:sz w:val="20"/>
                <w:szCs w:val="20"/>
                <w:lang w:val="pl-PL" w:eastAsia="cs-CZ"/>
              </w:rPr>
              <w:t>podřízených</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procesech</w:t>
            </w:r>
            <w:proofErr w:type="spellEnd"/>
            <w:r w:rsidRPr="00727F33">
              <w:rPr>
                <w:rFonts w:eastAsia="Times New Roman" w:cs="Calibri Light"/>
                <w:color w:val="000000"/>
                <w:sz w:val="20"/>
                <w:szCs w:val="20"/>
                <w:lang w:val="pl-PL" w:eastAsia="cs-CZ"/>
              </w:rPr>
              <w:t xml:space="preserve"> je </w:t>
            </w:r>
            <w:proofErr w:type="spellStart"/>
            <w:r w:rsidRPr="00727F33">
              <w:rPr>
                <w:rFonts w:eastAsia="Times New Roman" w:cs="Calibri Light"/>
                <w:color w:val="000000"/>
                <w:sz w:val="20"/>
                <w:szCs w:val="20"/>
                <w:lang w:val="pl-PL" w:eastAsia="cs-CZ"/>
              </w:rPr>
              <w:t>zastaven</w:t>
            </w:r>
            <w:proofErr w:type="spellEnd"/>
            <w:r w:rsidRPr="00727F33">
              <w:rPr>
                <w:rFonts w:eastAsia="Times New Roman" w:cs="Calibri Light"/>
                <w:color w:val="000000"/>
                <w:sz w:val="20"/>
                <w:szCs w:val="20"/>
                <w:lang w:val="pl-PL" w:eastAsia="cs-CZ"/>
              </w:rPr>
              <w:t xml:space="preserve">. Agent </w:t>
            </w:r>
            <w:proofErr w:type="spellStart"/>
            <w:r w:rsidRPr="00727F33">
              <w:rPr>
                <w:rFonts w:eastAsia="Times New Roman" w:cs="Calibri Light"/>
                <w:color w:val="000000"/>
                <w:sz w:val="20"/>
                <w:szCs w:val="20"/>
                <w:lang w:val="pl-PL" w:eastAsia="cs-CZ"/>
              </w:rPr>
              <w:t>ukončí</w:t>
            </w:r>
            <w:proofErr w:type="spellEnd"/>
            <w:r w:rsidRPr="00727F33">
              <w:rPr>
                <w:rFonts w:eastAsia="Times New Roman" w:cs="Calibri Light"/>
                <w:color w:val="000000"/>
                <w:sz w:val="20"/>
                <w:szCs w:val="20"/>
                <w:lang w:val="pl-PL" w:eastAsia="cs-CZ"/>
              </w:rPr>
              <w:t xml:space="preserve"> proces </w:t>
            </w:r>
            <w:proofErr w:type="spellStart"/>
            <w:r w:rsidRPr="00727F33">
              <w:rPr>
                <w:rFonts w:eastAsia="Times New Roman" w:cs="Calibri Light"/>
                <w:color w:val="000000"/>
                <w:sz w:val="20"/>
                <w:szCs w:val="20"/>
                <w:lang w:val="pl-PL" w:eastAsia="cs-CZ"/>
              </w:rPr>
              <w:t>pokud</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tento</w:t>
            </w:r>
            <w:proofErr w:type="spellEnd"/>
            <w:r w:rsidRPr="00727F33">
              <w:rPr>
                <w:rFonts w:eastAsia="Times New Roman" w:cs="Calibri Light"/>
                <w:color w:val="000000"/>
                <w:sz w:val="20"/>
                <w:szCs w:val="20"/>
                <w:lang w:val="pl-PL" w:eastAsia="cs-CZ"/>
              </w:rPr>
              <w:t xml:space="preserve"> proces </w:t>
            </w:r>
            <w:proofErr w:type="spellStart"/>
            <w:r w:rsidRPr="00727F33">
              <w:rPr>
                <w:rFonts w:eastAsia="Times New Roman" w:cs="Calibri Light"/>
                <w:color w:val="000000"/>
                <w:sz w:val="20"/>
                <w:szCs w:val="20"/>
                <w:lang w:val="pl-PL" w:eastAsia="cs-CZ"/>
              </w:rPr>
              <w:t>neodpovídá</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normálnímu</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chování</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koncové</w:t>
            </w:r>
            <w:proofErr w:type="spellEnd"/>
            <w:r w:rsidRPr="00727F33">
              <w:rPr>
                <w:rFonts w:eastAsia="Times New Roman" w:cs="Calibri Light"/>
                <w:color w:val="000000"/>
                <w:sz w:val="20"/>
                <w:szCs w:val="20"/>
                <w:lang w:val="pl-PL" w:eastAsia="cs-CZ"/>
              </w:rPr>
              <w:t xml:space="preserve"> stanice </w:t>
            </w:r>
            <w:proofErr w:type="spellStart"/>
            <w:r w:rsidRPr="00727F33">
              <w:rPr>
                <w:rFonts w:eastAsia="Times New Roman" w:cs="Calibri Light"/>
                <w:color w:val="000000"/>
                <w:sz w:val="20"/>
                <w:szCs w:val="20"/>
                <w:lang w:val="pl-PL" w:eastAsia="cs-CZ"/>
              </w:rPr>
              <w:t>nebo</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akcím</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aplikace</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ve</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které</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se</w:t>
            </w:r>
            <w:proofErr w:type="spellEnd"/>
            <w:r w:rsidRPr="00727F33">
              <w:rPr>
                <w:rFonts w:eastAsia="Times New Roman" w:cs="Calibri Light"/>
                <w:color w:val="000000"/>
                <w:sz w:val="20"/>
                <w:szCs w:val="20"/>
                <w:lang w:val="pl-PL" w:eastAsia="cs-CZ"/>
              </w:rPr>
              <w:t xml:space="preserve"> proces </w:t>
            </w:r>
            <w:proofErr w:type="spellStart"/>
            <w:r w:rsidRPr="00727F33">
              <w:rPr>
                <w:rFonts w:eastAsia="Times New Roman" w:cs="Calibri Light"/>
                <w:color w:val="000000"/>
                <w:sz w:val="20"/>
                <w:szCs w:val="20"/>
                <w:lang w:val="pl-PL" w:eastAsia="cs-CZ"/>
              </w:rPr>
              <w:t>skrývá</w:t>
            </w:r>
            <w:proofErr w:type="spellEnd"/>
            <w:r w:rsidRPr="00727F33">
              <w:rPr>
                <w:rFonts w:eastAsia="Times New Roman" w:cs="Calibri Light"/>
                <w:color w:val="000000"/>
                <w:sz w:val="20"/>
                <w:szCs w:val="20"/>
                <w:lang w:val="pl-PL" w:eastAsia="cs-CZ"/>
              </w:rPr>
              <w:t>.</w:t>
            </w:r>
          </w:p>
        </w:tc>
        <w:tc>
          <w:tcPr>
            <w:tcW w:w="894" w:type="pct"/>
            <w:tcBorders>
              <w:top w:val="single" w:sz="4" w:space="0" w:color="auto"/>
              <w:left w:val="nil"/>
              <w:bottom w:val="single" w:sz="4" w:space="0" w:color="auto"/>
              <w:right w:val="single" w:sz="4" w:space="0" w:color="auto"/>
            </w:tcBorders>
            <w:shd w:val="clear" w:color="auto" w:fill="FFFF00"/>
            <w:vAlign w:val="center"/>
          </w:tcPr>
          <w:p w14:paraId="22FF127E" w14:textId="6550A75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E752D69" w14:textId="6231371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3BC4892"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2988376"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val="pl-PL" w:eastAsia="cs-CZ"/>
              </w:rPr>
            </w:pPr>
            <w:proofErr w:type="spellStart"/>
            <w:r w:rsidRPr="00727F33">
              <w:rPr>
                <w:rFonts w:eastAsia="Times New Roman" w:cs="Calibri Light"/>
                <w:i/>
                <w:iCs/>
                <w:color w:val="000000"/>
                <w:sz w:val="20"/>
                <w:szCs w:val="20"/>
                <w:lang w:val="pl-PL" w:eastAsia="cs-CZ"/>
              </w:rPr>
              <w:t>Karanténa</w:t>
            </w:r>
            <w:proofErr w:type="spellEnd"/>
            <w:r w:rsidRPr="00727F33">
              <w:rPr>
                <w:rFonts w:eastAsia="Times New Roman" w:cs="Calibri Light"/>
                <w:color w:val="000000"/>
                <w:sz w:val="20"/>
                <w:szCs w:val="20"/>
                <w:lang w:val="pl-PL" w:eastAsia="cs-CZ"/>
              </w:rPr>
              <w:t xml:space="preserve">: Agent </w:t>
            </w:r>
            <w:proofErr w:type="spellStart"/>
            <w:r w:rsidRPr="00727F33">
              <w:rPr>
                <w:rFonts w:eastAsia="Times New Roman" w:cs="Calibri Light"/>
                <w:color w:val="000000"/>
                <w:sz w:val="20"/>
                <w:szCs w:val="20"/>
                <w:lang w:val="pl-PL" w:eastAsia="cs-CZ"/>
              </w:rPr>
              <w:t>zastaví</w:t>
            </w:r>
            <w:proofErr w:type="spellEnd"/>
            <w:r w:rsidRPr="00727F33">
              <w:rPr>
                <w:rFonts w:eastAsia="Times New Roman" w:cs="Calibri Light"/>
                <w:color w:val="000000"/>
                <w:sz w:val="20"/>
                <w:szCs w:val="20"/>
                <w:lang w:val="pl-PL" w:eastAsia="cs-CZ"/>
              </w:rPr>
              <w:t xml:space="preserve"> procesy, </w:t>
            </w:r>
            <w:proofErr w:type="spellStart"/>
            <w:r w:rsidRPr="00727F33">
              <w:rPr>
                <w:rFonts w:eastAsia="Times New Roman" w:cs="Calibri Light"/>
                <w:color w:val="000000"/>
                <w:sz w:val="20"/>
                <w:szCs w:val="20"/>
                <w:lang w:val="pl-PL" w:eastAsia="cs-CZ"/>
              </w:rPr>
              <w:t>zašifruje</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spustitelný</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soubor</w:t>
            </w:r>
            <w:proofErr w:type="spellEnd"/>
            <w:r w:rsidRPr="00727F33">
              <w:rPr>
                <w:rFonts w:eastAsia="Times New Roman" w:cs="Calibri Light"/>
                <w:color w:val="000000"/>
                <w:sz w:val="20"/>
                <w:szCs w:val="20"/>
                <w:lang w:val="pl-PL" w:eastAsia="cs-CZ"/>
              </w:rPr>
              <w:t xml:space="preserve"> a </w:t>
            </w:r>
            <w:proofErr w:type="spellStart"/>
            <w:r w:rsidRPr="00727F33">
              <w:rPr>
                <w:rFonts w:eastAsia="Times New Roman" w:cs="Calibri Light"/>
                <w:color w:val="000000"/>
                <w:sz w:val="20"/>
                <w:szCs w:val="20"/>
                <w:lang w:val="pl-PL" w:eastAsia="cs-CZ"/>
              </w:rPr>
              <w:t>přesune</w:t>
            </w:r>
            <w:proofErr w:type="spellEnd"/>
            <w:r w:rsidRPr="00727F33">
              <w:rPr>
                <w:rFonts w:eastAsia="Times New Roman" w:cs="Calibri Light"/>
                <w:color w:val="000000"/>
                <w:sz w:val="20"/>
                <w:szCs w:val="20"/>
                <w:lang w:val="pl-PL" w:eastAsia="cs-CZ"/>
              </w:rPr>
              <w:t xml:space="preserve"> jej na </w:t>
            </w:r>
            <w:proofErr w:type="spellStart"/>
            <w:r w:rsidRPr="00727F33">
              <w:rPr>
                <w:rFonts w:eastAsia="Times New Roman" w:cs="Calibri Light"/>
                <w:color w:val="000000"/>
                <w:sz w:val="20"/>
                <w:szCs w:val="20"/>
                <w:lang w:val="pl-PL" w:eastAsia="cs-CZ"/>
              </w:rPr>
              <w:t>místo</w:t>
            </w:r>
            <w:proofErr w:type="spellEnd"/>
            <w:r w:rsidRPr="00727F33">
              <w:rPr>
                <w:rFonts w:eastAsia="Times New Roman" w:cs="Calibri Light"/>
                <w:color w:val="000000"/>
                <w:sz w:val="20"/>
                <w:szCs w:val="20"/>
                <w:lang w:val="pl-PL" w:eastAsia="cs-CZ"/>
              </w:rPr>
              <w:t xml:space="preserve"> s </w:t>
            </w:r>
            <w:proofErr w:type="spellStart"/>
            <w:r w:rsidRPr="00727F33">
              <w:rPr>
                <w:rFonts w:eastAsia="Times New Roman" w:cs="Calibri Light"/>
                <w:color w:val="000000"/>
                <w:sz w:val="20"/>
                <w:szCs w:val="20"/>
                <w:lang w:val="pl-PL" w:eastAsia="cs-CZ"/>
              </w:rPr>
              <w:t>omezeným</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přístupem</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Pokud</w:t>
            </w:r>
            <w:proofErr w:type="spellEnd"/>
            <w:r w:rsidRPr="00727F33">
              <w:rPr>
                <w:rFonts w:eastAsia="Times New Roman" w:cs="Calibri Light"/>
                <w:color w:val="000000"/>
                <w:sz w:val="20"/>
                <w:szCs w:val="20"/>
                <w:lang w:val="pl-PL" w:eastAsia="cs-CZ"/>
              </w:rPr>
              <w:t xml:space="preserve"> je </w:t>
            </w:r>
            <w:proofErr w:type="spellStart"/>
            <w:r w:rsidRPr="00727F33">
              <w:rPr>
                <w:rFonts w:eastAsia="Times New Roman" w:cs="Calibri Light"/>
                <w:color w:val="000000"/>
                <w:sz w:val="20"/>
                <w:szCs w:val="20"/>
                <w:lang w:val="pl-PL" w:eastAsia="cs-CZ"/>
              </w:rPr>
              <w:t>hrozba</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známa</w:t>
            </w:r>
            <w:proofErr w:type="spellEnd"/>
            <w:r w:rsidRPr="00727F33">
              <w:rPr>
                <w:rFonts w:eastAsia="Times New Roman" w:cs="Calibri Light"/>
                <w:color w:val="000000"/>
                <w:sz w:val="20"/>
                <w:szCs w:val="20"/>
                <w:lang w:val="pl-PL" w:eastAsia="cs-CZ"/>
              </w:rPr>
              <w:t xml:space="preserve">, agent </w:t>
            </w:r>
            <w:proofErr w:type="spellStart"/>
            <w:r w:rsidRPr="00727F33">
              <w:rPr>
                <w:rFonts w:eastAsia="Times New Roman" w:cs="Calibri Light"/>
                <w:color w:val="000000"/>
                <w:sz w:val="20"/>
                <w:szCs w:val="20"/>
                <w:lang w:val="pl-PL" w:eastAsia="cs-CZ"/>
              </w:rPr>
              <w:t>ji</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automaticky</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deaktivuje</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před</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jejím</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spuštěním</w:t>
            </w:r>
            <w:proofErr w:type="spellEnd"/>
            <w:r w:rsidRPr="00727F33">
              <w:rPr>
                <w:rFonts w:eastAsia="Times New Roman" w:cs="Calibri Light"/>
                <w:color w:val="000000"/>
                <w:sz w:val="20"/>
                <w:szCs w:val="20"/>
                <w:lang w:val="pl-PL" w:eastAsia="cs-CZ"/>
              </w:rPr>
              <w:t>.</w:t>
            </w:r>
          </w:p>
        </w:tc>
        <w:tc>
          <w:tcPr>
            <w:tcW w:w="894" w:type="pct"/>
            <w:tcBorders>
              <w:top w:val="single" w:sz="4" w:space="0" w:color="auto"/>
              <w:left w:val="nil"/>
              <w:bottom w:val="single" w:sz="4" w:space="0" w:color="auto"/>
              <w:right w:val="single" w:sz="4" w:space="0" w:color="auto"/>
            </w:tcBorders>
            <w:shd w:val="clear" w:color="auto" w:fill="FFFF00"/>
            <w:vAlign w:val="center"/>
          </w:tcPr>
          <w:p w14:paraId="6FF80E2C" w14:textId="151BF9FA"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A4492B1" w14:textId="6D51A64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68E56CA6"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7938F2AF"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i/>
                <w:iCs/>
                <w:color w:val="000000"/>
                <w:sz w:val="20"/>
                <w:szCs w:val="20"/>
                <w:lang w:eastAsia="cs-CZ"/>
              </w:rPr>
              <w:t>Odpojení od sítě</w:t>
            </w:r>
            <w:r w:rsidRPr="00727F33">
              <w:rPr>
                <w:rFonts w:eastAsia="Times New Roman" w:cs="Calibri Light"/>
                <w:color w:val="000000"/>
                <w:sz w:val="20"/>
                <w:szCs w:val="20"/>
                <w:lang w:eastAsia="cs-CZ"/>
              </w:rPr>
              <w:t>: (nebo karanténa sítě nebo izolace sítě) Agent odpojí danou stanici od sítě a umožní komunikaci pouze s konzolí pro správu. Koncová stanice nesmí komunikovat s ostatními komponentami v síti. Všechny akce v konzoli pro správu musí fungovat bez ohledu na stav izolace sítě.</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8C32820" w14:textId="70644C40"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1E7138B" w14:textId="52CE3374"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970028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485FC23"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i/>
                <w:iCs/>
                <w:color w:val="000000"/>
                <w:sz w:val="20"/>
                <w:szCs w:val="20"/>
                <w:lang w:eastAsia="cs-CZ"/>
              </w:rPr>
              <w:t>Náprava</w:t>
            </w:r>
            <w:r w:rsidRPr="00727F33">
              <w:rPr>
                <w:rFonts w:eastAsia="Times New Roman" w:cs="Calibri Light"/>
                <w:color w:val="000000"/>
                <w:sz w:val="20"/>
                <w:szCs w:val="20"/>
                <w:lang w:eastAsia="cs-CZ"/>
              </w:rPr>
              <w:t>: Agent zastaví procesy, umístí binární soubory do karantény, odebere pozměněné knihovny, odstraní zdrojové soubory a obnoví konfiguraci operačního systému, aplikace a uživatelská nastavení do stavu před zahájením útoku.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6326B0C4" w14:textId="4B98BAE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E58382D" w14:textId="3D4676D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328F3D2F"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591E736C"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i/>
                <w:iCs/>
                <w:color w:val="000000"/>
                <w:sz w:val="20"/>
                <w:szCs w:val="20"/>
                <w:lang w:eastAsia="cs-CZ"/>
              </w:rPr>
              <w:t>Obnovení</w:t>
            </w:r>
            <w:r w:rsidRPr="00727F33">
              <w:rPr>
                <w:rFonts w:eastAsia="Times New Roman" w:cs="Calibri Light"/>
                <w:color w:val="000000"/>
                <w:sz w:val="20"/>
                <w:szCs w:val="20"/>
                <w:lang w:eastAsia="cs-CZ"/>
              </w:rPr>
              <w:t xml:space="preserve">: Agent obnoví stav koncové stanice do stavu v době vytvoření záznamu </w:t>
            </w:r>
            <w:proofErr w:type="spellStart"/>
            <w:r w:rsidRPr="00727F33">
              <w:rPr>
                <w:rFonts w:eastAsia="Times New Roman" w:cs="Calibri Light"/>
                <w:color w:val="000000"/>
                <w:sz w:val="20"/>
                <w:szCs w:val="20"/>
                <w:lang w:eastAsia="cs-CZ"/>
              </w:rPr>
              <w:t>Volume</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Shadow</w:t>
            </w:r>
            <w:proofErr w:type="spellEnd"/>
            <w:r w:rsidRPr="00727F33">
              <w:rPr>
                <w:rFonts w:eastAsia="Times New Roman" w:cs="Calibri Light"/>
                <w:color w:val="000000"/>
                <w:sz w:val="20"/>
                <w:szCs w:val="20"/>
                <w:lang w:eastAsia="cs-CZ"/>
              </w:rPr>
              <w:t xml:space="preserve"> Copy (VSS) a vrátí zpět změny provedené škodlivým procesem a jeho přidruženými prostředky. V případě útoku by měl agent autonomně a v téměř reálném čase obnovit data koncové stanice.</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03EE9DA" w14:textId="534946C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089E0E17" w14:textId="3D2C4C9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135FF972"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8AB6C20" w14:textId="31312D4A" w:rsidR="00B86C4C" w:rsidRPr="00727F33" w:rsidRDefault="00B86C4C" w:rsidP="00B86C4C">
            <w:pPr>
              <w:spacing w:after="0" w:line="240" w:lineRule="auto"/>
              <w:rPr>
                <w:rFonts w:eastAsia="Times New Roman" w:cs="Calibri Light"/>
                <w:sz w:val="20"/>
                <w:szCs w:val="20"/>
                <w:lang w:eastAsia="cs-CZ"/>
              </w:rPr>
            </w:pPr>
            <w:r w:rsidRPr="00727F33">
              <w:rPr>
                <w:rFonts w:cs="Calibri Light"/>
                <w:b/>
                <w:bCs/>
                <w:color w:val="000000"/>
                <w:sz w:val="20"/>
                <w:szCs w:val="20"/>
                <w:highlight w:val="white"/>
              </w:rPr>
              <w:t>Řešení musí podporovat následující mechanismy detekce malwaru:</w:t>
            </w:r>
          </w:p>
        </w:tc>
      </w:tr>
      <w:tr w:rsidR="00B86C4C" w:rsidRPr="00727F33" w14:paraId="60BF77ED"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3F13A84"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val="pl-PL" w:eastAsia="cs-CZ"/>
              </w:rPr>
            </w:pPr>
            <w:r w:rsidRPr="00727F33">
              <w:rPr>
                <w:rFonts w:eastAsia="Times New Roman" w:cs="Calibri Light"/>
                <w:color w:val="000000"/>
                <w:sz w:val="20"/>
                <w:szCs w:val="20"/>
                <w:lang w:eastAsia="cs-CZ"/>
              </w:rPr>
              <w:t xml:space="preserve">Před spuštěním pomocí </w:t>
            </w:r>
            <w:proofErr w:type="spellStart"/>
            <w:r w:rsidRPr="00727F33">
              <w:rPr>
                <w:rFonts w:eastAsia="Times New Roman" w:cs="Calibri Light"/>
                <w:color w:val="000000"/>
                <w:sz w:val="20"/>
                <w:szCs w:val="20"/>
                <w:lang w:eastAsia="cs-CZ"/>
              </w:rPr>
              <w:t>reputation</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engine</w:t>
            </w:r>
            <w:proofErr w:type="spellEnd"/>
            <w:r w:rsidRPr="00727F33">
              <w:rPr>
                <w:rFonts w:eastAsia="Times New Roman" w:cs="Calibri Light"/>
                <w:color w:val="000000"/>
                <w:sz w:val="20"/>
                <w:szCs w:val="20"/>
                <w:lang w:eastAsia="cs-CZ"/>
              </w:rPr>
              <w:t xml:space="preserve">: Identifikace malwaru na základě souborů pomocí </w:t>
            </w:r>
            <w:proofErr w:type="spellStart"/>
            <w:r w:rsidRPr="00727F33">
              <w:rPr>
                <w:rFonts w:eastAsia="Times New Roman" w:cs="Calibri Light"/>
                <w:color w:val="000000"/>
                <w:sz w:val="20"/>
                <w:szCs w:val="20"/>
                <w:lang w:eastAsia="cs-CZ"/>
              </w:rPr>
              <w:t>reputation</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engine</w:t>
            </w:r>
            <w:proofErr w:type="spellEnd"/>
            <w:r w:rsidRPr="00727F33">
              <w:rPr>
                <w:rFonts w:eastAsia="Times New Roman" w:cs="Calibri Light"/>
                <w:color w:val="000000"/>
                <w:sz w:val="20"/>
                <w:szCs w:val="20"/>
                <w:lang w:eastAsia="cs-CZ"/>
              </w:rPr>
              <w:t xml:space="preserve">. </w:t>
            </w:r>
            <w:r w:rsidRPr="00727F33">
              <w:rPr>
                <w:rFonts w:eastAsia="Times New Roman" w:cs="Calibri Light"/>
                <w:color w:val="000000"/>
                <w:sz w:val="20"/>
                <w:szCs w:val="20"/>
                <w:lang w:val="pl-PL" w:eastAsia="cs-CZ"/>
              </w:rPr>
              <w:t xml:space="preserve">Je </w:t>
            </w:r>
            <w:proofErr w:type="spellStart"/>
            <w:r w:rsidRPr="00727F33">
              <w:rPr>
                <w:rFonts w:eastAsia="Times New Roman" w:cs="Calibri Light"/>
                <w:color w:val="000000"/>
                <w:sz w:val="20"/>
                <w:szCs w:val="20"/>
                <w:lang w:val="pl-PL" w:eastAsia="cs-CZ"/>
              </w:rPr>
              <w:t>přijatelné</w:t>
            </w:r>
            <w:proofErr w:type="spellEnd"/>
            <w:r w:rsidRPr="00727F33">
              <w:rPr>
                <w:rFonts w:eastAsia="Times New Roman" w:cs="Calibri Light"/>
                <w:color w:val="000000"/>
                <w:sz w:val="20"/>
                <w:szCs w:val="20"/>
                <w:lang w:val="pl-PL" w:eastAsia="cs-CZ"/>
              </w:rPr>
              <w:t xml:space="preserve">, aby tato </w:t>
            </w:r>
            <w:proofErr w:type="spellStart"/>
            <w:r w:rsidRPr="00727F33">
              <w:rPr>
                <w:rFonts w:eastAsia="Times New Roman" w:cs="Calibri Light"/>
                <w:color w:val="000000"/>
                <w:sz w:val="20"/>
                <w:szCs w:val="20"/>
                <w:lang w:val="pl-PL" w:eastAsia="cs-CZ"/>
              </w:rPr>
              <w:t>funkce</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závisela</w:t>
            </w:r>
            <w:proofErr w:type="spellEnd"/>
            <w:r w:rsidRPr="00727F33">
              <w:rPr>
                <w:rFonts w:eastAsia="Times New Roman" w:cs="Calibri Light"/>
                <w:color w:val="000000"/>
                <w:sz w:val="20"/>
                <w:szCs w:val="20"/>
                <w:lang w:val="pl-PL" w:eastAsia="cs-CZ"/>
              </w:rPr>
              <w:t xml:space="preserve"> na </w:t>
            </w:r>
            <w:proofErr w:type="spellStart"/>
            <w:r w:rsidRPr="00727F33">
              <w:rPr>
                <w:rFonts w:eastAsia="Times New Roman" w:cs="Calibri Light"/>
                <w:color w:val="000000"/>
                <w:sz w:val="20"/>
                <w:szCs w:val="20"/>
                <w:lang w:val="pl-PL" w:eastAsia="cs-CZ"/>
              </w:rPr>
              <w:t>cloudu</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nebo</w:t>
            </w:r>
            <w:proofErr w:type="spellEnd"/>
            <w:r w:rsidRPr="00727F33">
              <w:rPr>
                <w:rFonts w:eastAsia="Times New Roman" w:cs="Calibri Light"/>
                <w:color w:val="000000"/>
                <w:sz w:val="20"/>
                <w:szCs w:val="20"/>
                <w:lang w:val="pl-PL" w:eastAsia="cs-CZ"/>
              </w:rPr>
              <w:t xml:space="preserve"> management </w:t>
            </w:r>
            <w:proofErr w:type="spellStart"/>
            <w:r w:rsidRPr="00727F33">
              <w:rPr>
                <w:rFonts w:eastAsia="Times New Roman" w:cs="Calibri Light"/>
                <w:color w:val="000000"/>
                <w:sz w:val="20"/>
                <w:szCs w:val="20"/>
                <w:lang w:val="pl-PL" w:eastAsia="cs-CZ"/>
              </w:rPr>
              <w:t>konzoli</w:t>
            </w:r>
            <w:proofErr w:type="spellEnd"/>
            <w:r w:rsidRPr="00727F33">
              <w:rPr>
                <w:rFonts w:eastAsia="Times New Roman" w:cs="Calibri Light"/>
                <w:color w:val="000000"/>
                <w:sz w:val="20"/>
                <w:szCs w:val="20"/>
                <w:lang w:val="pl-PL" w:eastAsia="cs-CZ"/>
              </w:rPr>
              <w:t xml:space="preserve">. Tato </w:t>
            </w:r>
            <w:proofErr w:type="spellStart"/>
            <w:r w:rsidRPr="00727F33">
              <w:rPr>
                <w:rFonts w:eastAsia="Times New Roman" w:cs="Calibri Light"/>
                <w:color w:val="000000"/>
                <w:sz w:val="20"/>
                <w:szCs w:val="20"/>
                <w:lang w:val="pl-PL" w:eastAsia="cs-CZ"/>
              </w:rPr>
              <w:t>funkcionalita</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nesmí</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být</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vyžadována</w:t>
            </w:r>
            <w:proofErr w:type="spellEnd"/>
            <w:r w:rsidRPr="00727F33">
              <w:rPr>
                <w:rFonts w:eastAsia="Times New Roman" w:cs="Calibri Light"/>
                <w:color w:val="000000"/>
                <w:sz w:val="20"/>
                <w:szCs w:val="20"/>
                <w:lang w:val="pl-PL" w:eastAsia="cs-CZ"/>
              </w:rPr>
              <w:t xml:space="preserve"> pro </w:t>
            </w:r>
            <w:proofErr w:type="spellStart"/>
            <w:r w:rsidRPr="00727F33">
              <w:rPr>
                <w:rFonts w:eastAsia="Times New Roman" w:cs="Calibri Light"/>
                <w:color w:val="000000"/>
                <w:sz w:val="20"/>
                <w:szCs w:val="20"/>
                <w:lang w:val="pl-PL" w:eastAsia="cs-CZ"/>
              </w:rPr>
              <w:t>zajištění</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správné</w:t>
            </w:r>
            <w:proofErr w:type="spellEnd"/>
            <w:r w:rsidRPr="00727F33">
              <w:rPr>
                <w:rFonts w:eastAsia="Times New Roman" w:cs="Calibri Light"/>
                <w:color w:val="000000"/>
                <w:sz w:val="20"/>
                <w:szCs w:val="20"/>
                <w:lang w:val="pl-PL" w:eastAsia="cs-CZ"/>
              </w:rPr>
              <w:t xml:space="preserve"> </w:t>
            </w:r>
            <w:proofErr w:type="spellStart"/>
            <w:r w:rsidRPr="00727F33">
              <w:rPr>
                <w:rFonts w:eastAsia="Times New Roman" w:cs="Calibri Light"/>
                <w:color w:val="000000"/>
                <w:sz w:val="20"/>
                <w:szCs w:val="20"/>
                <w:lang w:val="pl-PL" w:eastAsia="cs-CZ"/>
              </w:rPr>
              <w:t>funkčnosti</w:t>
            </w:r>
            <w:proofErr w:type="spellEnd"/>
            <w:r w:rsidRPr="00727F33">
              <w:rPr>
                <w:rFonts w:eastAsia="Times New Roman" w:cs="Calibri Light"/>
                <w:color w:val="000000"/>
                <w:sz w:val="20"/>
                <w:szCs w:val="20"/>
                <w:lang w:val="pl-PL" w:eastAsia="cs-CZ"/>
              </w:rPr>
              <w:t xml:space="preserve"> ochrany stanice.</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85ECB52" w14:textId="30D163BC"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7AADBD0" w14:textId="6BEBF6C4"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43123792"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2C68B63C"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Před spuštěním pomocí statické analýzy chování: Identifikace neznámého souborového malware na základě statické analýzy pomocí algoritmů strojového učení. Taková analýza musí probíhat autonomně na koncové stanici, bez externích závislostí nebo externího zpracování. Tato funkcionalita nesmí být závislá na použití žádných známých </w:t>
            </w:r>
            <w:proofErr w:type="spellStart"/>
            <w:r w:rsidRPr="00727F33">
              <w:rPr>
                <w:rFonts w:eastAsia="Times New Roman" w:cs="Calibri Light"/>
                <w:color w:val="000000"/>
                <w:sz w:val="20"/>
                <w:szCs w:val="20"/>
                <w:lang w:eastAsia="cs-CZ"/>
              </w:rPr>
              <w:t>IoC</w:t>
            </w:r>
            <w:proofErr w:type="spellEnd"/>
            <w:r w:rsidRPr="00727F33">
              <w:rPr>
                <w:rFonts w:eastAsia="Times New Roman" w:cs="Calibri Light"/>
                <w:color w:val="000000"/>
                <w:sz w:val="20"/>
                <w:szCs w:val="20"/>
                <w:lang w:eastAsia="cs-CZ"/>
              </w:rPr>
              <w:t xml:space="preserve"> (DNS, IP, URL, HASH) a musí fungovat v reálném čase, když se přistupuje k danému operačnímu systému nebo souboru.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4823EE4B" w14:textId="5666A46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5798C90" w14:textId="3ABCFBB9"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2A7E607"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2CEAABEA" w14:textId="77777777" w:rsidR="00B86C4C" w:rsidRPr="00727F33" w:rsidRDefault="00B86C4C" w:rsidP="00B86C4C">
            <w:pPr>
              <w:pStyle w:val="Odstavecseseznamem"/>
              <w:numPr>
                <w:ilvl w:val="0"/>
                <w:numId w:val="3"/>
              </w:num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Za běhu:  Identifikace útoků a reakce na ně pomocí detekce sofistikovaných hackerských technik (například 0-day, </w:t>
            </w:r>
            <w:proofErr w:type="spellStart"/>
            <w:r w:rsidRPr="00727F33">
              <w:rPr>
                <w:rFonts w:eastAsia="Times New Roman" w:cs="Calibri Light"/>
                <w:color w:val="000000"/>
                <w:sz w:val="20"/>
                <w:szCs w:val="20"/>
                <w:lang w:eastAsia="cs-CZ"/>
              </w:rPr>
              <w:t>fileless</w:t>
            </w:r>
            <w:proofErr w:type="spellEnd"/>
            <w:r w:rsidRPr="00727F33">
              <w:rPr>
                <w:rFonts w:eastAsia="Times New Roman" w:cs="Calibri Light"/>
                <w:color w:val="000000"/>
                <w:sz w:val="20"/>
                <w:szCs w:val="20"/>
                <w:lang w:eastAsia="cs-CZ"/>
              </w:rPr>
              <w:t xml:space="preserve"> a RAM-</w:t>
            </w:r>
            <w:proofErr w:type="spellStart"/>
            <w:r w:rsidRPr="00727F33">
              <w:rPr>
                <w:rFonts w:eastAsia="Times New Roman" w:cs="Calibri Light"/>
                <w:color w:val="000000"/>
                <w:sz w:val="20"/>
                <w:szCs w:val="20"/>
                <w:lang w:eastAsia="cs-CZ"/>
              </w:rPr>
              <w:t>based</w:t>
            </w:r>
            <w:proofErr w:type="spellEnd"/>
            <w:r w:rsidRPr="00727F33">
              <w:rPr>
                <w:rFonts w:eastAsia="Times New Roman" w:cs="Calibri Light"/>
                <w:color w:val="000000"/>
                <w:sz w:val="20"/>
                <w:szCs w:val="20"/>
                <w:lang w:eastAsia="cs-CZ"/>
              </w:rPr>
              <w:t xml:space="preserve"> útoky, 0-Day </w:t>
            </w:r>
            <w:proofErr w:type="spellStart"/>
            <w:r w:rsidRPr="00727F33">
              <w:rPr>
                <w:rFonts w:eastAsia="Times New Roman" w:cs="Calibri Light"/>
                <w:color w:val="000000"/>
                <w:sz w:val="20"/>
                <w:szCs w:val="20"/>
                <w:lang w:eastAsia="cs-CZ"/>
              </w:rPr>
              <w:t>Exploity</w:t>
            </w:r>
            <w:proofErr w:type="spellEnd"/>
            <w:r w:rsidRPr="00727F33">
              <w:rPr>
                <w:rFonts w:eastAsia="Times New Roman" w:cs="Calibri Light"/>
                <w:color w:val="000000"/>
                <w:sz w:val="20"/>
                <w:szCs w:val="20"/>
                <w:lang w:eastAsia="cs-CZ"/>
              </w:rPr>
              <w:t xml:space="preserve">, ransomware, </w:t>
            </w:r>
            <w:proofErr w:type="spellStart"/>
            <w:r w:rsidRPr="00727F33">
              <w:rPr>
                <w:rFonts w:eastAsia="Times New Roman" w:cs="Calibri Light"/>
                <w:color w:val="000000"/>
                <w:sz w:val="20"/>
                <w:szCs w:val="20"/>
                <w:lang w:eastAsia="cs-CZ"/>
              </w:rPr>
              <w:t>cryptominers</w:t>
            </w:r>
            <w:proofErr w:type="spellEnd"/>
            <w:r w:rsidRPr="00727F33">
              <w:rPr>
                <w:rFonts w:eastAsia="Times New Roman" w:cs="Calibri Light"/>
                <w:color w:val="000000"/>
                <w:sz w:val="20"/>
                <w:szCs w:val="20"/>
                <w:lang w:eastAsia="cs-CZ"/>
              </w:rPr>
              <w:t xml:space="preserve"> nebo laterální pohyb). Identifikace těchto hrozeb nesmí vyžadovat externí závislosti, lidský zásah nebo analýzu dat mimo chráněnou koncovou stanici. Tato detekce nesmí být závislá na použití žádných známých </w:t>
            </w:r>
            <w:proofErr w:type="spellStart"/>
            <w:r w:rsidRPr="00727F33">
              <w:rPr>
                <w:rFonts w:eastAsia="Times New Roman" w:cs="Calibri Light"/>
                <w:color w:val="000000"/>
                <w:sz w:val="20"/>
                <w:szCs w:val="20"/>
                <w:lang w:eastAsia="cs-CZ"/>
              </w:rPr>
              <w:t>IoC</w:t>
            </w:r>
            <w:proofErr w:type="spellEnd"/>
            <w:r w:rsidRPr="00727F33">
              <w:rPr>
                <w:rFonts w:eastAsia="Times New Roman" w:cs="Calibri Light"/>
                <w:color w:val="000000"/>
                <w:sz w:val="20"/>
                <w:szCs w:val="20"/>
                <w:lang w:eastAsia="cs-CZ"/>
              </w:rPr>
              <w:t xml:space="preserve"> (DNS, IP, URL, HASH) a musí fungovat téměř v reálném čase s použitím pokročilých algoritmů umělé inteligence.</w:t>
            </w:r>
          </w:p>
        </w:tc>
        <w:tc>
          <w:tcPr>
            <w:tcW w:w="894" w:type="pct"/>
            <w:tcBorders>
              <w:top w:val="single" w:sz="4" w:space="0" w:color="auto"/>
              <w:left w:val="nil"/>
              <w:bottom w:val="single" w:sz="4" w:space="0" w:color="auto"/>
              <w:right w:val="single" w:sz="4" w:space="0" w:color="auto"/>
            </w:tcBorders>
            <w:shd w:val="clear" w:color="auto" w:fill="FFFF00"/>
            <w:vAlign w:val="center"/>
          </w:tcPr>
          <w:p w14:paraId="41D1FB9C" w14:textId="7F11C3EA"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FAE7414" w14:textId="6795F4CC"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1ACB116"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E306E51"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Zásady ochrany stanice musí umožňovat reakci na detekovanou hrozbu na základě kvalifikace události (Hrozba [Škodlivá hrozba] nebo Podezřelá aktivita [Podezřelá hrozba]). Jako reakci na hrozbu musí být umožněno vybrat i jen Výstrahu, nebo možnosti aktivní ochrany, a to i na základě klasifikace hrozeb. Aktivní reakce na hrozby </w:t>
            </w:r>
            <w:r w:rsidRPr="00727F33">
              <w:rPr>
                <w:rFonts w:eastAsia="Times New Roman" w:cs="Calibri Light"/>
                <w:color w:val="000000"/>
                <w:sz w:val="20"/>
                <w:szCs w:val="20"/>
                <w:lang w:eastAsia="cs-CZ"/>
              </w:rPr>
              <w:lastRenderedPageBreak/>
              <w:t>musí být prováděna agentem autonomně, a to i v případě, že chráněná stanice není připojena k síti.</w:t>
            </w:r>
          </w:p>
        </w:tc>
        <w:tc>
          <w:tcPr>
            <w:tcW w:w="894" w:type="pct"/>
            <w:tcBorders>
              <w:top w:val="single" w:sz="4" w:space="0" w:color="auto"/>
              <w:left w:val="nil"/>
              <w:bottom w:val="single" w:sz="4" w:space="0" w:color="auto"/>
              <w:right w:val="single" w:sz="4" w:space="0" w:color="auto"/>
            </w:tcBorders>
            <w:shd w:val="clear" w:color="auto" w:fill="FFFF00"/>
            <w:vAlign w:val="center"/>
          </w:tcPr>
          <w:p w14:paraId="7304CFBF" w14:textId="7EDD1BA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lastRenderedPageBreak/>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AA2C6AE" w14:textId="037A1AC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76B1474"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9129BD2"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umožňovat ovládání a nastavení lokálního firewallu pro chráněné koncové stanice. Tato ochrana musí umožňovat nastavení jedinečných zásad pro každou chráněnou skupinu hostů. Pravidla brány firewall musí být schopná brát v úvahu minimálně následující parametry: FQDN, IP, CIDR. Tato funkcionalita musí být dostupná pro následující operační systémy: Windows, Linux a macOS.</w:t>
            </w:r>
          </w:p>
        </w:tc>
        <w:tc>
          <w:tcPr>
            <w:tcW w:w="894" w:type="pct"/>
            <w:tcBorders>
              <w:top w:val="single" w:sz="4" w:space="0" w:color="auto"/>
              <w:left w:val="nil"/>
              <w:bottom w:val="single" w:sz="4" w:space="0" w:color="auto"/>
              <w:right w:val="single" w:sz="4" w:space="0" w:color="auto"/>
            </w:tcBorders>
            <w:shd w:val="clear" w:color="auto" w:fill="FFFF00"/>
            <w:vAlign w:val="center"/>
          </w:tcPr>
          <w:p w14:paraId="29F08076" w14:textId="7E6200C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0A7CF90D" w14:textId="10C402B9"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2A0B5120"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1FC90D6"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umožňovat kontrolu připojovaných zařízení. Řízení přístupu musí umožňovat nastavení jedinečných zásad pro každou chráněnou skupinu hostitelů. Podpora ovládání zařízení je vyžadována pro následující typy rozhraní: USB a Bluetooth. Funkce musí být podporovány pro následující operační systémy: Windows a macOS.</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14D54C2" w14:textId="4AA92A94"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7EB96958" w14:textId="56D35285"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BB86DE5"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F3411B8"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detekovat zranitelnosti aplikací nainstalovaných na chráněném hostiteli a poskytovat CVE informace spojené s těmito zranitelnostmi.</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B987232" w14:textId="0411A19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0261C468" w14:textId="3370FF90"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453F853E"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D5CD929"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schopnost automaticky a autonomně provádět předběžné indexování a předběžnou korelaci událostí, ke kterým dochází v chráněném prostředí. Indexování musí probíhat v reálném čase a proces by měl probíhat na chráněné stanici, nikoli v cloudu. Související události musí mít jedinečný identifikátor, který pomůže identifikovat skupinu událostí, které spolu souvisí. Dotaz obsahující tento typ identifikátoru musí vracet informace o všech událostech (IP, DNS, SOUBORY, REGISTRY, PROCESY, ADRESY URL atd.), které tvoří danou skupinu, bez ohledu na to, zda souvisí s malwarem či nikoli. Kromě toho musí řídicí panel EDR obsahovat průzkumníka "stromu procesů", který graficky vizualizuje a analyzuje procesy, které tvoří danou událost.</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E03EB1D" w14:textId="11090BC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75F7CB2" w14:textId="2314E02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097E8B4"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30E7676D"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poskytovat prohlížeč stromu procesů, aby se zjednodušila analýza incidentu.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8779A83" w14:textId="72E8075D"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F6F6C3A" w14:textId="4A6F7AC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440DD56"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EC70FFD"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automaticky indexovat a korelovat události pod jedinečným identifikátorem, který jednoznačně identifikuje konkrétní strom procesu.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65BD4B81" w14:textId="31C56DF9"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A06719A" w14:textId="7E18A8D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6FD4BC7"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57781584"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poskytovat funkci Full </w:t>
            </w:r>
            <w:proofErr w:type="spellStart"/>
            <w:r w:rsidRPr="00727F33">
              <w:rPr>
                <w:rFonts w:eastAsia="Times New Roman" w:cs="Calibri Light"/>
                <w:color w:val="000000"/>
                <w:sz w:val="20"/>
                <w:szCs w:val="20"/>
                <w:lang w:eastAsia="cs-CZ"/>
              </w:rPr>
              <w:t>Remote</w:t>
            </w:r>
            <w:proofErr w:type="spellEnd"/>
            <w:r w:rsidRPr="00727F33">
              <w:rPr>
                <w:rFonts w:eastAsia="Times New Roman" w:cs="Calibri Light"/>
                <w:color w:val="000000"/>
                <w:sz w:val="20"/>
                <w:szCs w:val="20"/>
                <w:lang w:eastAsia="cs-CZ"/>
              </w:rPr>
              <w:t xml:space="preserve"> Shell, aby správce mohl provádět příkazy na koncové stanici, a to i když je ve stavu izolace sítě. Kromě toho musí řešení uložit přepis zkompilované relace. Tento přepis musí být chráněný heslem. Pro použití této funkce (Full </w:t>
            </w:r>
            <w:proofErr w:type="spellStart"/>
            <w:r w:rsidRPr="00727F33">
              <w:rPr>
                <w:rFonts w:eastAsia="Times New Roman" w:cs="Calibri Light"/>
                <w:color w:val="000000"/>
                <w:sz w:val="20"/>
                <w:szCs w:val="20"/>
                <w:lang w:eastAsia="cs-CZ"/>
              </w:rPr>
              <w:t>Remote</w:t>
            </w:r>
            <w:proofErr w:type="spellEnd"/>
            <w:r w:rsidRPr="00727F33">
              <w:rPr>
                <w:rFonts w:eastAsia="Times New Roman" w:cs="Calibri Light"/>
                <w:color w:val="000000"/>
                <w:sz w:val="20"/>
                <w:szCs w:val="20"/>
                <w:lang w:eastAsia="cs-CZ"/>
              </w:rPr>
              <w:t xml:space="preserve"> Shell) musí správce použít dvojúrovňové ověření (2FA). Tuto funkci musí být možné povolit pouze vybraným uživatelům (správcům).</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4DE4AA9" w14:textId="131259F0"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4EE309D7" w14:textId="4210FC3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4D0F980C"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E5106DA"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schopnosti překládat přirozený jazyk do strukturovaných dotazů a automaticky je spouštět proti shromážděné telemetrii EDR/XDR.</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580D940" w14:textId="20A8B46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B1B3010" w14:textId="031CC46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2245E5CE"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A48F413"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schopnost odpovídat na otázky týkající se konfigurace produktu v přirozeném jazyce.</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BC87671" w14:textId="01A6A099"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47471FE" w14:textId="706BBB8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0E321E0"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E8DE314"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zabudovaný ochranný mechanismus, který zabrání uživatelům v nevhodném použití řešení a je odolný vůči útokům LLM.</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44D6EE6" w14:textId="70058EB0"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39A4587A" w14:textId="203FD79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3E03A11"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54977B3F"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konverzační koncept, který umožní klást otázky a dostávat odpovědi v konkrétním kontextu (například časový rozsah poslední tři dny). Počet možných požadavků by měl být neomezený (</w:t>
            </w:r>
            <w:proofErr w:type="spellStart"/>
            <w:r w:rsidRPr="00727F33">
              <w:rPr>
                <w:rFonts w:eastAsia="Times New Roman" w:cs="Calibri Light"/>
                <w:color w:val="000000"/>
                <w:sz w:val="20"/>
                <w:szCs w:val="20"/>
                <w:lang w:eastAsia="cs-CZ"/>
              </w:rPr>
              <w:t>unlimited</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query</w:t>
            </w:r>
            <w:proofErr w:type="spellEnd"/>
            <w:r w:rsidRPr="00727F33">
              <w:rPr>
                <w:rFonts w:eastAsia="Times New Roman" w:cs="Calibri Light"/>
                <w:color w:val="000000"/>
                <w:sz w:val="20"/>
                <w:szCs w:val="20"/>
                <w:lang w:eastAsia="cs-CZ"/>
              </w:rPr>
              <w:t xml:space="preserve">). </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25FF6E1" w14:textId="4C3DC99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468EEB28" w14:textId="796B7F9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3F36B931"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7C208486"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schopnosti sumarizovat protokoly událostí a indikátory pomocí přirozeného jazyka</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6890DAE" w14:textId="2C0BC17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2DE8F92" w14:textId="5A09CFD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696CD31B"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316B6EE2"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být schopno doporučit další otázky, které mohou být položeny v průběhu šetření.</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189A507" w14:textId="457659BF"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88CB79D" w14:textId="685DBF8A"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48DCE79"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EEBACAF"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lastRenderedPageBreak/>
              <w:t>Řešení musí mít možnosti vytvářet souhrnné e-maily po dokončení procesu šetření.</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24C66BB" w14:textId="6F89F216"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480DCD67" w14:textId="1A1937D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765C3F9"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5F36D192"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schopnost sbírat zpětnou vazbu uživatelů o výsledcích "překladů strukturovaných dotazů z přirozeného jazyka" a vracet výsledky.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512B12B" w14:textId="54802B1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4923A460" w14:textId="5400FD99"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44FE505F"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161C2424"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schopnost sdílet výsledky šetření s ostatními členy týmu.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0A33625" w14:textId="450DA8E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06104B5" w14:textId="38167DD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81EB5C0"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B5E2453"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musí mít "nízký vstupní práh" implementací příkladů dotazů, které mohou být položeny bezpečnostními analytiky.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5A47FDD" w14:textId="51E6709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62C9F090" w14:textId="107AB970"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198488A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D2F871A"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Řešení nesmí být trénováno pomocí telemetrie zákazníků, jejich dotazů a odpovědí na tyto dotazy.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35ED021" w14:textId="4F28A9F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7635A1A" w14:textId="660D765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8AFA56B"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E71394B" w14:textId="753E467E" w:rsidR="00B86C4C" w:rsidRPr="00727F33" w:rsidRDefault="00B86C4C" w:rsidP="00B86C4C">
            <w:pPr>
              <w:spacing w:after="0" w:line="240" w:lineRule="auto"/>
              <w:rPr>
                <w:rFonts w:eastAsia="Times New Roman" w:cs="Calibri Light"/>
                <w:sz w:val="20"/>
                <w:szCs w:val="20"/>
                <w:lang w:eastAsia="cs-CZ"/>
              </w:rPr>
            </w:pPr>
            <w:r w:rsidRPr="00727F33">
              <w:rPr>
                <w:rFonts w:eastAsia="Times New Roman" w:cs="Calibri Light"/>
                <w:b/>
                <w:bCs/>
                <w:color w:val="000000"/>
                <w:sz w:val="20"/>
                <w:szCs w:val="20"/>
                <w:lang w:eastAsia="cs-CZ"/>
              </w:rPr>
              <w:t>Integrace</w:t>
            </w:r>
          </w:p>
        </w:tc>
      </w:tr>
      <w:tr w:rsidR="00B86C4C" w:rsidRPr="00727F33" w14:paraId="0111800B"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569FC66" w14:textId="00844CEC" w:rsidR="00B86C4C" w:rsidRPr="00727F33" w:rsidRDefault="00B86C4C" w:rsidP="39986556">
            <w:pPr>
              <w:pBdr>
                <w:top w:val="nil"/>
                <w:left w:val="nil"/>
                <w:bottom w:val="nil"/>
                <w:right w:val="nil"/>
                <w:between w:val="nil"/>
              </w:pBdr>
              <w:spacing w:after="0" w:line="240" w:lineRule="auto"/>
              <w:jc w:val="both"/>
              <w:rPr>
                <w:rFonts w:ascii="Aptos" w:eastAsia="Aptos" w:hAnsi="Aptos" w:cs="Aptos"/>
                <w:sz w:val="20"/>
                <w:szCs w:val="20"/>
              </w:rPr>
            </w:pPr>
            <w:r w:rsidRPr="39986556">
              <w:rPr>
                <w:rFonts w:eastAsia="Times New Roman" w:cs="Calibri Light"/>
                <w:color w:val="000000" w:themeColor="text1"/>
                <w:sz w:val="20"/>
                <w:szCs w:val="20"/>
                <w:lang w:eastAsia="cs-CZ"/>
              </w:rPr>
              <w:t xml:space="preserve">Řešení musí být schopné integrace </w:t>
            </w:r>
            <w:r w:rsidR="078F23DF" w:rsidRPr="39986556">
              <w:rPr>
                <w:rFonts w:ascii="Aptos" w:eastAsia="Aptos" w:hAnsi="Aptos" w:cs="Aptos"/>
                <w:sz w:val="20"/>
                <w:szCs w:val="20"/>
              </w:rPr>
              <w:t xml:space="preserve"> s centrálními adresářovými a autentizačními službami zadavatele</w:t>
            </w:r>
            <w:r w:rsidRPr="39986556">
              <w:rPr>
                <w:rFonts w:eastAsia="Times New Roman" w:cs="Calibri Light"/>
                <w:color w:val="000000" w:themeColor="text1"/>
                <w:sz w:val="20"/>
                <w:szCs w:val="20"/>
                <w:lang w:eastAsia="cs-CZ"/>
              </w:rPr>
              <w:t>,</w:t>
            </w:r>
            <w:r w:rsidR="175F6D09" w:rsidRPr="39986556">
              <w:rPr>
                <w:rFonts w:ascii="Aptos" w:eastAsia="Aptos" w:hAnsi="Aptos" w:cs="Aptos"/>
                <w:sz w:val="20"/>
                <w:szCs w:val="20"/>
              </w:rPr>
              <w:t xml:space="preserve"> tak, aby bylo možné automatizované přiřazování agentů do logických skupin a uplatňování odpovídajících bezpečnostních a provozních zásad.</w:t>
            </w:r>
            <w:r w:rsidRPr="39986556">
              <w:rPr>
                <w:rFonts w:eastAsia="Times New Roman" w:cs="Calibri Light"/>
                <w:color w:val="000000" w:themeColor="text1"/>
                <w:sz w:val="20"/>
                <w:szCs w:val="20"/>
                <w:lang w:eastAsia="cs-CZ"/>
              </w:rPr>
              <w:t xml:space="preserve">. Konzole pro správu by se NEMĚLA připojovat </w:t>
            </w:r>
            <w:r w:rsidR="6C00EDDD" w:rsidRPr="39986556">
              <w:rPr>
                <w:rFonts w:eastAsia="Times New Roman" w:cs="Calibri Light"/>
                <w:color w:val="000000" w:themeColor="text1"/>
                <w:sz w:val="20"/>
                <w:szCs w:val="20"/>
                <w:lang w:eastAsia="cs-CZ"/>
              </w:rPr>
              <w:t xml:space="preserve">na adresářové </w:t>
            </w:r>
            <w:proofErr w:type="spellStart"/>
            <w:r w:rsidR="6C00EDDD" w:rsidRPr="39986556">
              <w:rPr>
                <w:rFonts w:eastAsia="Times New Roman" w:cs="Calibri Light"/>
                <w:color w:val="000000" w:themeColor="text1"/>
                <w:sz w:val="20"/>
                <w:szCs w:val="20"/>
                <w:lang w:eastAsia="cs-CZ"/>
              </w:rPr>
              <w:t>služby</w:t>
            </w:r>
            <w:r w:rsidRPr="39986556">
              <w:rPr>
                <w:rFonts w:eastAsia="Times New Roman" w:cs="Calibri Light"/>
                <w:color w:val="000000" w:themeColor="text1"/>
                <w:sz w:val="20"/>
                <w:szCs w:val="20"/>
                <w:lang w:eastAsia="cs-CZ"/>
              </w:rPr>
              <w:t>přímo</w:t>
            </w:r>
            <w:proofErr w:type="spellEnd"/>
            <w:r w:rsidRPr="39986556">
              <w:rPr>
                <w:rFonts w:eastAsia="Times New Roman" w:cs="Calibri Light"/>
                <w:color w:val="000000" w:themeColor="text1"/>
                <w:sz w:val="20"/>
                <w:szCs w:val="20"/>
                <w:lang w:eastAsia="cs-CZ"/>
              </w:rPr>
              <w:t xml:space="preserve"> prostřednictvím služby ADFS ani žádnou jinou metodou k získání atributů zařízení a uživatele. </w:t>
            </w:r>
            <w:r w:rsidR="7AD95411" w:rsidRPr="39986556">
              <w:rPr>
                <w:rFonts w:ascii="Aptos" w:eastAsia="Aptos" w:hAnsi="Aptos" w:cs="Aptos"/>
                <w:sz w:val="20"/>
                <w:szCs w:val="20"/>
              </w:rPr>
              <w:t xml:space="preserve"> Server pro správu řešení </w:t>
            </w:r>
            <w:r w:rsidR="7AD95411" w:rsidRPr="39986556">
              <w:rPr>
                <w:rFonts w:eastAsia="Times New Roman" w:cs="Calibri Light"/>
                <w:color w:val="000000" w:themeColor="text1"/>
                <w:sz w:val="20"/>
                <w:szCs w:val="20"/>
                <w:lang w:eastAsia="cs-CZ"/>
              </w:rPr>
              <w:t>by neměl být</w:t>
            </w:r>
            <w:r w:rsidR="7AD95411" w:rsidRPr="39986556">
              <w:rPr>
                <w:rFonts w:ascii="Aptos" w:eastAsia="Aptos" w:hAnsi="Aptos" w:cs="Aptos"/>
                <w:sz w:val="20"/>
                <w:szCs w:val="20"/>
              </w:rPr>
              <w:t xml:space="preserve"> na dostupnosti adresářových služeb a musí být schopen provozu i v případě jejich dočasné nedostupnosti.</w:t>
            </w:r>
          </w:p>
        </w:tc>
        <w:tc>
          <w:tcPr>
            <w:tcW w:w="894" w:type="pct"/>
            <w:tcBorders>
              <w:top w:val="single" w:sz="4" w:space="0" w:color="auto"/>
              <w:left w:val="nil"/>
              <w:bottom w:val="single" w:sz="4" w:space="0" w:color="auto"/>
              <w:right w:val="single" w:sz="4" w:space="0" w:color="auto"/>
            </w:tcBorders>
            <w:shd w:val="clear" w:color="auto" w:fill="FFFF00"/>
            <w:vAlign w:val="center"/>
          </w:tcPr>
          <w:p w14:paraId="4E0498B7" w14:textId="2C1FAE83"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1637F25" w14:textId="5676A3D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23163B01"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1769D20F"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Součástí řešení musí být otevřené API, které umožňuje integraci s dalšími řešeními, monitoring prostředí a automatizaci některých procesů. Dokumentace k rozhraní API musí být nativně dostupná z konzole pro správu.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51AC356F" w14:textId="2079520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68ABA34" w14:textId="694D340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6C2C2E65"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C7D40CF" w14:textId="5676105A" w:rsidR="00B86C4C" w:rsidRPr="00727F33" w:rsidRDefault="00B86C4C" w:rsidP="00B86C4C">
            <w:pPr>
              <w:spacing w:after="0" w:line="240" w:lineRule="auto"/>
              <w:rPr>
                <w:rFonts w:eastAsia="Times New Roman" w:cs="Calibri Light"/>
                <w:sz w:val="20"/>
                <w:szCs w:val="20"/>
                <w:lang w:eastAsia="cs-CZ"/>
              </w:rPr>
            </w:pPr>
            <w:r w:rsidRPr="00727F33">
              <w:rPr>
                <w:rFonts w:eastAsia="Times New Roman" w:cs="Calibri Light"/>
                <w:b/>
                <w:bCs/>
                <w:color w:val="000000"/>
                <w:sz w:val="20"/>
                <w:szCs w:val="20"/>
                <w:lang w:eastAsia="cs-CZ"/>
              </w:rPr>
              <w:t>Reporting a Logování</w:t>
            </w:r>
          </w:p>
        </w:tc>
      </w:tr>
      <w:tr w:rsidR="00B86C4C" w:rsidRPr="00727F33" w14:paraId="442C6C45"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75FCD9CA"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Úložiště EDR dat musí poskytovat kompletní data alespoň po dobu 14 dnů v cloudovém modelu </w:t>
            </w:r>
            <w:proofErr w:type="spellStart"/>
            <w:r w:rsidRPr="00727F33">
              <w:rPr>
                <w:rFonts w:eastAsia="Times New Roman" w:cs="Calibri Light"/>
                <w:color w:val="000000"/>
                <w:sz w:val="20"/>
                <w:szCs w:val="20"/>
                <w:lang w:eastAsia="cs-CZ"/>
              </w:rPr>
              <w:t>SaaS</w:t>
            </w:r>
            <w:proofErr w:type="spellEnd"/>
            <w:r w:rsidRPr="00727F33">
              <w:rPr>
                <w:rFonts w:eastAsia="Times New Roman" w:cs="Calibri Light"/>
                <w:color w:val="000000"/>
                <w:sz w:val="20"/>
                <w:szCs w:val="20"/>
                <w:lang w:eastAsia="cs-CZ"/>
              </w:rPr>
              <w:t xml:space="preserve"> a tato doba musí být prodloužitelná až na 365 dní.</w:t>
            </w:r>
          </w:p>
        </w:tc>
        <w:tc>
          <w:tcPr>
            <w:tcW w:w="894" w:type="pct"/>
            <w:tcBorders>
              <w:top w:val="single" w:sz="4" w:space="0" w:color="auto"/>
              <w:left w:val="nil"/>
              <w:bottom w:val="single" w:sz="4" w:space="0" w:color="auto"/>
              <w:right w:val="single" w:sz="4" w:space="0" w:color="auto"/>
            </w:tcBorders>
            <w:shd w:val="clear" w:color="auto" w:fill="FFFF00"/>
            <w:vAlign w:val="center"/>
          </w:tcPr>
          <w:p w14:paraId="003C1964" w14:textId="32C4498D"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CA6C050" w14:textId="2F467C04"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6F8FE842"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7742658F"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Informace o incidentech a související události musí být uchovávány v centrální konzoli alespoň po dobu 1 roku.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493F1EA0" w14:textId="3E107E7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586CDBF" w14:textId="19D09358"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7047CBBB"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7ECE1DF0"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 xml:space="preserve">Řešení musí podporovat následující formáty </w:t>
            </w:r>
            <w:proofErr w:type="spellStart"/>
            <w:r w:rsidRPr="00727F33">
              <w:rPr>
                <w:rFonts w:eastAsia="Times New Roman" w:cs="Calibri Light"/>
                <w:color w:val="000000"/>
                <w:sz w:val="20"/>
                <w:szCs w:val="20"/>
                <w:lang w:eastAsia="cs-CZ"/>
              </w:rPr>
              <w:t>syslogu</w:t>
            </w:r>
            <w:proofErr w:type="spellEnd"/>
            <w:r w:rsidRPr="00727F33">
              <w:rPr>
                <w:rFonts w:eastAsia="Times New Roman" w:cs="Calibri Light"/>
                <w:color w:val="000000"/>
                <w:sz w:val="20"/>
                <w:szCs w:val="20"/>
                <w:lang w:eastAsia="cs-CZ"/>
              </w:rPr>
              <w:t xml:space="preserve">: CEF, CEF2, RFC-5424, STIX a IOC. Řešení musí podporovat SSL a certifikáty ve formátu X.509 pro šifrování a ověřování přenosu </w:t>
            </w:r>
            <w:proofErr w:type="spellStart"/>
            <w:r w:rsidRPr="00727F33">
              <w:rPr>
                <w:rFonts w:eastAsia="Times New Roman" w:cs="Calibri Light"/>
                <w:color w:val="000000"/>
                <w:sz w:val="20"/>
                <w:szCs w:val="20"/>
                <w:lang w:eastAsia="cs-CZ"/>
              </w:rPr>
              <w:t>syslogu</w:t>
            </w:r>
            <w:proofErr w:type="spellEnd"/>
            <w:r w:rsidRPr="00727F33">
              <w:rPr>
                <w:rFonts w:eastAsia="Times New Roman" w:cs="Calibri Light"/>
                <w:color w:val="000000"/>
                <w:sz w:val="20"/>
                <w:szCs w:val="20"/>
                <w:lang w:eastAsia="cs-CZ"/>
              </w:rPr>
              <w:t>.</w:t>
            </w:r>
          </w:p>
        </w:tc>
        <w:tc>
          <w:tcPr>
            <w:tcW w:w="894" w:type="pct"/>
            <w:tcBorders>
              <w:top w:val="single" w:sz="4" w:space="0" w:color="auto"/>
              <w:left w:val="nil"/>
              <w:bottom w:val="single" w:sz="4" w:space="0" w:color="auto"/>
              <w:right w:val="single" w:sz="4" w:space="0" w:color="auto"/>
            </w:tcBorders>
            <w:shd w:val="clear" w:color="auto" w:fill="FFFF00"/>
            <w:vAlign w:val="center"/>
          </w:tcPr>
          <w:p w14:paraId="445F8B08" w14:textId="71B150F6"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0657BB6" w14:textId="3A7BDDD6"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19B14BE" w14:textId="77777777" w:rsidTr="39986556">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364158A" w14:textId="67680080" w:rsidR="00B86C4C" w:rsidRPr="00727F33" w:rsidRDefault="00B86C4C" w:rsidP="00B86C4C">
            <w:pPr>
              <w:spacing w:after="0" w:line="240" w:lineRule="auto"/>
              <w:rPr>
                <w:rFonts w:eastAsia="Times New Roman" w:cs="Calibri Light"/>
                <w:sz w:val="20"/>
                <w:szCs w:val="20"/>
                <w:lang w:eastAsia="cs-CZ"/>
              </w:rPr>
            </w:pPr>
            <w:r w:rsidRPr="00727F33">
              <w:rPr>
                <w:rFonts w:eastAsia="Times New Roman" w:cs="Calibri Light"/>
                <w:b/>
                <w:bCs/>
                <w:color w:val="000000"/>
                <w:sz w:val="20"/>
                <w:szCs w:val="20"/>
                <w:lang w:eastAsia="cs-CZ"/>
              </w:rPr>
              <w:t xml:space="preserve">Výsledky v posledním nezávislém testování MITRE ENGENUITY – ATT&amp;CK EVALUATIONS – </w:t>
            </w:r>
            <w:proofErr w:type="spellStart"/>
            <w:r w:rsidRPr="00727F33">
              <w:rPr>
                <w:rFonts w:eastAsia="Times New Roman" w:cs="Calibri Light"/>
                <w:b/>
                <w:bCs/>
                <w:color w:val="000000"/>
                <w:sz w:val="20"/>
                <w:szCs w:val="20"/>
                <w:lang w:eastAsia="cs-CZ"/>
              </w:rPr>
              <w:t>Enterprise</w:t>
            </w:r>
            <w:proofErr w:type="spellEnd"/>
            <w:r w:rsidRPr="00727F33">
              <w:rPr>
                <w:rFonts w:eastAsia="Times New Roman" w:cs="Calibri Light"/>
                <w:b/>
                <w:bCs/>
                <w:color w:val="000000"/>
                <w:sz w:val="20"/>
                <w:szCs w:val="20"/>
                <w:lang w:eastAsia="cs-CZ"/>
              </w:rPr>
              <w:t xml:space="preserve"> </w:t>
            </w:r>
            <w:proofErr w:type="spellStart"/>
            <w:r w:rsidRPr="00727F33">
              <w:rPr>
                <w:rFonts w:eastAsia="Times New Roman" w:cs="Calibri Light"/>
                <w:b/>
                <w:bCs/>
                <w:color w:val="000000"/>
                <w:sz w:val="20"/>
                <w:szCs w:val="20"/>
                <w:lang w:eastAsia="cs-CZ"/>
              </w:rPr>
              <w:t>Evaluations</w:t>
            </w:r>
            <w:proofErr w:type="spellEnd"/>
            <w:r w:rsidRPr="00727F33">
              <w:rPr>
                <w:rFonts w:eastAsia="Times New Roman" w:cs="Calibri Light"/>
                <w:b/>
                <w:bCs/>
                <w:color w:val="000000"/>
                <w:sz w:val="20"/>
                <w:szCs w:val="20"/>
                <w:lang w:eastAsia="cs-CZ"/>
              </w:rPr>
              <w:t xml:space="preserve"> - </w:t>
            </w:r>
            <w:proofErr w:type="spellStart"/>
            <w:r w:rsidRPr="00727F33">
              <w:rPr>
                <w:rFonts w:eastAsia="Times New Roman" w:cs="Calibri Light"/>
                <w:b/>
                <w:bCs/>
                <w:color w:val="000000"/>
                <w:sz w:val="20"/>
                <w:szCs w:val="20"/>
                <w:lang w:eastAsia="cs-CZ"/>
              </w:rPr>
              <w:t>Turla</w:t>
            </w:r>
            <w:proofErr w:type="spellEnd"/>
            <w:r w:rsidRPr="00727F33">
              <w:rPr>
                <w:rFonts w:eastAsia="Times New Roman" w:cs="Calibri Light"/>
                <w:b/>
                <w:bCs/>
                <w:color w:val="000000"/>
                <w:sz w:val="20"/>
                <w:szCs w:val="20"/>
                <w:lang w:eastAsia="cs-CZ"/>
              </w:rPr>
              <w:t xml:space="preserve"> (2023)</w:t>
            </w:r>
          </w:p>
        </w:tc>
      </w:tr>
      <w:tr w:rsidR="00B86C4C" w:rsidRPr="00727F33" w14:paraId="2379CB5B"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5778D0C" w14:textId="7777777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100% ochrana v scénáři „</w:t>
            </w:r>
            <w:proofErr w:type="spellStart"/>
            <w:r w:rsidRPr="00727F33">
              <w:rPr>
                <w:rFonts w:eastAsia="Times New Roman" w:cs="Calibri Light"/>
                <w:color w:val="000000"/>
                <w:sz w:val="20"/>
                <w:szCs w:val="20"/>
                <w:lang w:eastAsia="cs-CZ"/>
              </w:rPr>
              <w:t>Protections</w:t>
            </w:r>
            <w:proofErr w:type="spellEnd"/>
            <w:r w:rsidRPr="00727F33">
              <w:rPr>
                <w:rFonts w:eastAsia="Times New Roman" w:cs="Calibri Light"/>
                <w:color w:val="000000"/>
                <w:sz w:val="20"/>
                <w:szCs w:val="20"/>
                <w:lang w:eastAsia="cs-CZ"/>
              </w:rPr>
              <w:t>“ (V každém testu 1-13 zablokovalo řešení postup útoku)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66ADEE7" w14:textId="40D15677"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CF5F9B8" w14:textId="39EEEDAB"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EC8439B"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127B2ECA" w14:textId="3E14FA57"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90% a vyšší detekce(„</w:t>
            </w:r>
            <w:proofErr w:type="spellStart"/>
            <w:r w:rsidRPr="00727F33">
              <w:rPr>
                <w:rFonts w:eastAsia="Times New Roman" w:cs="Calibri Light"/>
                <w:color w:val="000000"/>
                <w:sz w:val="20"/>
                <w:szCs w:val="20"/>
                <w:lang w:eastAsia="cs-CZ"/>
              </w:rPr>
              <w:t>Visibility</w:t>
            </w:r>
            <w:proofErr w:type="spellEnd"/>
            <w:r w:rsidRPr="00727F33">
              <w:rPr>
                <w:rFonts w:eastAsia="Times New Roman" w:cs="Calibri Light"/>
                <w:color w:val="000000"/>
                <w:sz w:val="20"/>
                <w:szCs w:val="20"/>
                <w:lang w:eastAsia="cs-CZ"/>
              </w:rPr>
              <w:t>“) v rámci scénářů „</w:t>
            </w:r>
            <w:proofErr w:type="spellStart"/>
            <w:r w:rsidRPr="00727F33">
              <w:rPr>
                <w:rFonts w:eastAsia="Times New Roman" w:cs="Calibri Light"/>
                <w:color w:val="000000"/>
                <w:sz w:val="20"/>
                <w:szCs w:val="20"/>
                <w:lang w:eastAsia="cs-CZ"/>
              </w:rPr>
              <w:t>Carbon</w:t>
            </w:r>
            <w:proofErr w:type="spellEnd"/>
            <w:r w:rsidRPr="00727F33">
              <w:rPr>
                <w:rFonts w:eastAsia="Times New Roman" w:cs="Calibri Light"/>
                <w:color w:val="000000"/>
                <w:sz w:val="20"/>
                <w:szCs w:val="20"/>
                <w:lang w:eastAsia="cs-CZ"/>
              </w:rPr>
              <w:t>“ a „</w:t>
            </w:r>
            <w:proofErr w:type="spellStart"/>
            <w:r w:rsidRPr="00727F33">
              <w:rPr>
                <w:rFonts w:eastAsia="Times New Roman" w:cs="Calibri Light"/>
                <w:color w:val="000000"/>
                <w:sz w:val="20"/>
                <w:szCs w:val="20"/>
                <w:lang w:eastAsia="cs-CZ"/>
              </w:rPr>
              <w:t>Snake</w:t>
            </w:r>
            <w:proofErr w:type="spellEnd"/>
            <w:r w:rsidRPr="00727F33">
              <w:rPr>
                <w:rFonts w:eastAsia="Times New Roman" w:cs="Calibri Light"/>
                <w:color w:val="000000"/>
                <w:sz w:val="20"/>
                <w:szCs w:val="20"/>
                <w:lang w:eastAsia="cs-CZ"/>
              </w:rPr>
              <w:t>“ – Schopnost detekovat každý krok útoku</w:t>
            </w:r>
            <w:r w:rsidR="004B3780">
              <w:rPr>
                <w:rFonts w:eastAsia="Times New Roman" w:cs="Calibri Light"/>
                <w:color w:val="000000"/>
                <w:sz w:val="20"/>
                <w:szCs w:val="20"/>
                <w:lang w:eastAsia="cs-CZ"/>
              </w:rPr>
              <w:t xml:space="preserve"> </w:t>
            </w:r>
            <w:r w:rsidRPr="00727F33">
              <w:rPr>
                <w:rFonts w:eastAsia="Times New Roman" w:cs="Calibri Light"/>
                <w:color w:val="000000"/>
                <w:sz w:val="20"/>
                <w:szCs w:val="20"/>
                <w:lang w:eastAsia="cs-CZ"/>
              </w:rPr>
              <w:t xml:space="preserve">(Typ detekce </w:t>
            </w:r>
            <w:proofErr w:type="spellStart"/>
            <w:r w:rsidRPr="00727F33">
              <w:rPr>
                <w:rFonts w:eastAsia="Times New Roman" w:cs="Calibri Light"/>
                <w:color w:val="000000"/>
                <w:sz w:val="20"/>
                <w:szCs w:val="20"/>
                <w:lang w:eastAsia="cs-CZ"/>
              </w:rPr>
              <w:t>Technique</w:t>
            </w:r>
            <w:proofErr w:type="spellEnd"/>
            <w:r w:rsidRPr="00727F33">
              <w:rPr>
                <w:rFonts w:eastAsia="Times New Roman" w:cs="Calibri Light"/>
                <w:color w:val="000000"/>
                <w:sz w:val="20"/>
                <w:szCs w:val="20"/>
                <w:lang w:eastAsia="cs-CZ"/>
              </w:rPr>
              <w:t xml:space="preserve">, </w:t>
            </w:r>
            <w:proofErr w:type="spellStart"/>
            <w:r w:rsidRPr="00727F33">
              <w:rPr>
                <w:rFonts w:eastAsia="Times New Roman" w:cs="Calibri Light"/>
                <w:color w:val="000000"/>
                <w:sz w:val="20"/>
                <w:szCs w:val="20"/>
                <w:lang w:eastAsia="cs-CZ"/>
              </w:rPr>
              <w:t>Tactic</w:t>
            </w:r>
            <w:proofErr w:type="spellEnd"/>
            <w:r w:rsidRPr="00727F33">
              <w:rPr>
                <w:rFonts w:eastAsia="Times New Roman" w:cs="Calibri Light"/>
                <w:color w:val="000000"/>
                <w:sz w:val="20"/>
                <w:szCs w:val="20"/>
                <w:lang w:eastAsia="cs-CZ"/>
              </w:rPr>
              <w:t>, General nebo Telemetry) s úspěšností 90% a více. („</w:t>
            </w:r>
            <w:proofErr w:type="spellStart"/>
            <w:r w:rsidRPr="00727F33">
              <w:rPr>
                <w:rFonts w:eastAsia="Times New Roman" w:cs="Calibri Light"/>
                <w:color w:val="000000"/>
                <w:sz w:val="20"/>
                <w:szCs w:val="20"/>
                <w:lang w:eastAsia="cs-CZ"/>
              </w:rPr>
              <w:t>None</w:t>
            </w:r>
            <w:proofErr w:type="spellEnd"/>
            <w:r w:rsidRPr="00727F33">
              <w:rPr>
                <w:rFonts w:eastAsia="Times New Roman" w:cs="Calibri Light"/>
                <w:color w:val="000000"/>
                <w:sz w:val="20"/>
                <w:szCs w:val="20"/>
                <w:lang w:eastAsia="cs-CZ"/>
              </w:rPr>
              <w:t xml:space="preserve">“ – bez detekce, „Not </w:t>
            </w:r>
            <w:proofErr w:type="spellStart"/>
            <w:r w:rsidRPr="00727F33">
              <w:rPr>
                <w:rFonts w:eastAsia="Times New Roman" w:cs="Calibri Light"/>
                <w:color w:val="000000"/>
                <w:sz w:val="20"/>
                <w:szCs w:val="20"/>
                <w:lang w:eastAsia="cs-CZ"/>
              </w:rPr>
              <w:t>applicable</w:t>
            </w:r>
            <w:proofErr w:type="spellEnd"/>
            <w:r w:rsidRPr="00727F33">
              <w:rPr>
                <w:rFonts w:eastAsia="Times New Roman" w:cs="Calibri Light"/>
                <w:color w:val="000000"/>
                <w:sz w:val="20"/>
                <w:szCs w:val="20"/>
                <w:lang w:eastAsia="cs-CZ"/>
              </w:rPr>
              <w:t>“ – není součástí statistiky)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ABEAEDC" w14:textId="1E209C2E"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2046FF99" w14:textId="64144921"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86C4C" w:rsidRPr="00727F33" w14:paraId="5ED0DBB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3D685E6" w14:textId="1D783AD8" w:rsidR="00B86C4C" w:rsidRPr="00727F33" w:rsidRDefault="00B86C4C" w:rsidP="00B86C4C">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eastAsia="Times New Roman" w:cs="Calibri Light"/>
                <w:color w:val="000000"/>
                <w:sz w:val="20"/>
                <w:szCs w:val="20"/>
                <w:lang w:eastAsia="cs-CZ"/>
              </w:rPr>
              <w:t>95% a vyšší analýza(„</w:t>
            </w:r>
            <w:proofErr w:type="spellStart"/>
            <w:r w:rsidRPr="00727F33">
              <w:rPr>
                <w:rFonts w:eastAsia="Times New Roman" w:cs="Calibri Light"/>
                <w:color w:val="000000"/>
                <w:sz w:val="20"/>
                <w:szCs w:val="20"/>
                <w:lang w:eastAsia="cs-CZ"/>
              </w:rPr>
              <w:t>Analysis</w:t>
            </w:r>
            <w:proofErr w:type="spellEnd"/>
            <w:r w:rsidRPr="00727F33">
              <w:rPr>
                <w:rFonts w:eastAsia="Times New Roman" w:cs="Calibri Light"/>
                <w:color w:val="000000"/>
                <w:sz w:val="20"/>
                <w:szCs w:val="20"/>
                <w:lang w:eastAsia="cs-CZ"/>
              </w:rPr>
              <w:t>“) v rámci scénářů „</w:t>
            </w:r>
            <w:proofErr w:type="spellStart"/>
            <w:r w:rsidRPr="00727F33">
              <w:rPr>
                <w:rFonts w:eastAsia="Times New Roman" w:cs="Calibri Light"/>
                <w:color w:val="000000"/>
                <w:sz w:val="20"/>
                <w:szCs w:val="20"/>
                <w:lang w:eastAsia="cs-CZ"/>
              </w:rPr>
              <w:t>Carbon</w:t>
            </w:r>
            <w:proofErr w:type="spellEnd"/>
            <w:r w:rsidRPr="00727F33">
              <w:rPr>
                <w:rFonts w:eastAsia="Times New Roman" w:cs="Calibri Light"/>
                <w:color w:val="000000"/>
                <w:sz w:val="20"/>
                <w:szCs w:val="20"/>
                <w:lang w:eastAsia="cs-CZ"/>
              </w:rPr>
              <w:t>“ a „</w:t>
            </w:r>
            <w:proofErr w:type="spellStart"/>
            <w:r w:rsidRPr="00727F33">
              <w:rPr>
                <w:rFonts w:eastAsia="Times New Roman" w:cs="Calibri Light"/>
                <w:color w:val="000000"/>
                <w:sz w:val="20"/>
                <w:szCs w:val="20"/>
                <w:lang w:eastAsia="cs-CZ"/>
              </w:rPr>
              <w:t>Snake</w:t>
            </w:r>
            <w:proofErr w:type="spellEnd"/>
            <w:r w:rsidRPr="00727F33">
              <w:rPr>
                <w:rFonts w:eastAsia="Times New Roman" w:cs="Calibri Light"/>
                <w:color w:val="000000"/>
                <w:sz w:val="20"/>
                <w:szCs w:val="20"/>
                <w:lang w:eastAsia="cs-CZ"/>
              </w:rPr>
              <w:t>“ – Schopnost detekovat každý krok útoku</w:t>
            </w:r>
            <w:r w:rsidR="004B3780">
              <w:rPr>
                <w:rFonts w:eastAsia="Times New Roman" w:cs="Calibri Light"/>
                <w:color w:val="000000"/>
                <w:sz w:val="20"/>
                <w:szCs w:val="20"/>
                <w:lang w:eastAsia="cs-CZ"/>
              </w:rPr>
              <w:t xml:space="preserve"> </w:t>
            </w:r>
            <w:r w:rsidRPr="00727F33">
              <w:rPr>
                <w:rFonts w:eastAsia="Times New Roman" w:cs="Calibri Light"/>
                <w:color w:val="000000"/>
                <w:sz w:val="20"/>
                <w:szCs w:val="20"/>
                <w:lang w:eastAsia="cs-CZ"/>
              </w:rPr>
              <w:t xml:space="preserve">(Typ detekce </w:t>
            </w:r>
            <w:proofErr w:type="spellStart"/>
            <w:r w:rsidRPr="00727F33">
              <w:rPr>
                <w:rFonts w:eastAsia="Times New Roman" w:cs="Calibri Light"/>
                <w:color w:val="000000"/>
                <w:sz w:val="20"/>
                <w:szCs w:val="20"/>
                <w:lang w:eastAsia="cs-CZ"/>
              </w:rPr>
              <w:t>Technique</w:t>
            </w:r>
            <w:proofErr w:type="spellEnd"/>
            <w:r w:rsidRPr="00727F33">
              <w:rPr>
                <w:rFonts w:eastAsia="Times New Roman" w:cs="Calibri Light"/>
                <w:color w:val="000000"/>
                <w:sz w:val="20"/>
                <w:szCs w:val="20"/>
                <w:lang w:eastAsia="cs-CZ"/>
              </w:rPr>
              <w:t xml:space="preserve"> a </w:t>
            </w:r>
            <w:proofErr w:type="spellStart"/>
            <w:r w:rsidRPr="00727F33">
              <w:rPr>
                <w:rFonts w:eastAsia="Times New Roman" w:cs="Calibri Light"/>
                <w:color w:val="000000"/>
                <w:sz w:val="20"/>
                <w:szCs w:val="20"/>
                <w:lang w:eastAsia="cs-CZ"/>
              </w:rPr>
              <w:t>Tactic</w:t>
            </w:r>
            <w:proofErr w:type="spellEnd"/>
            <w:r w:rsidRPr="00727F33">
              <w:rPr>
                <w:rFonts w:eastAsia="Times New Roman" w:cs="Calibri Light"/>
                <w:color w:val="000000"/>
                <w:sz w:val="20"/>
                <w:szCs w:val="20"/>
                <w:lang w:eastAsia="cs-CZ"/>
              </w:rPr>
              <w:t>) s úspěšností 95% a více. („</w:t>
            </w:r>
            <w:proofErr w:type="spellStart"/>
            <w:r w:rsidRPr="00727F33">
              <w:rPr>
                <w:rFonts w:eastAsia="Times New Roman" w:cs="Calibri Light"/>
                <w:color w:val="000000"/>
                <w:sz w:val="20"/>
                <w:szCs w:val="20"/>
                <w:lang w:eastAsia="cs-CZ"/>
              </w:rPr>
              <w:t>None</w:t>
            </w:r>
            <w:proofErr w:type="spellEnd"/>
            <w:r w:rsidRPr="00727F33">
              <w:rPr>
                <w:rFonts w:eastAsia="Times New Roman" w:cs="Calibri Light"/>
                <w:color w:val="000000"/>
                <w:sz w:val="20"/>
                <w:szCs w:val="20"/>
                <w:lang w:eastAsia="cs-CZ"/>
              </w:rPr>
              <w:t xml:space="preserve">“ – bez detekce, „Not </w:t>
            </w:r>
            <w:proofErr w:type="spellStart"/>
            <w:r w:rsidRPr="00727F33">
              <w:rPr>
                <w:rFonts w:eastAsia="Times New Roman" w:cs="Calibri Light"/>
                <w:color w:val="000000"/>
                <w:sz w:val="20"/>
                <w:szCs w:val="20"/>
                <w:lang w:eastAsia="cs-CZ"/>
              </w:rPr>
              <w:t>applicable</w:t>
            </w:r>
            <w:proofErr w:type="spellEnd"/>
            <w:r w:rsidRPr="00727F33">
              <w:rPr>
                <w:rFonts w:eastAsia="Times New Roman" w:cs="Calibri Light"/>
                <w:color w:val="000000"/>
                <w:sz w:val="20"/>
                <w:szCs w:val="20"/>
                <w:lang w:eastAsia="cs-CZ"/>
              </w:rPr>
              <w:t>“ – není součástí statistiky)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7DB944F" w14:textId="79466E92"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DD566AD" w14:textId="1E0CD359" w:rsidR="00B86C4C" w:rsidRPr="004F6934" w:rsidRDefault="00B86C4C" w:rsidP="00B86C4C">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4C7A42" w:rsidRPr="00727F33" w14:paraId="7FBDAE58"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E8F86C9" w14:textId="064BEB43" w:rsidR="004C7A42" w:rsidRPr="002C183C" w:rsidRDefault="004C7A42" w:rsidP="00B86C4C">
            <w:pPr>
              <w:pBdr>
                <w:top w:val="nil"/>
                <w:left w:val="nil"/>
                <w:bottom w:val="nil"/>
                <w:right w:val="nil"/>
                <w:between w:val="nil"/>
              </w:pBdr>
              <w:spacing w:after="0" w:line="240" w:lineRule="auto"/>
              <w:jc w:val="both"/>
              <w:rPr>
                <w:rFonts w:eastAsia="Times New Roman" w:cs="Calibri Light"/>
                <w:b/>
                <w:bCs/>
                <w:color w:val="000000"/>
                <w:sz w:val="20"/>
                <w:szCs w:val="20"/>
                <w:lang w:eastAsia="cs-CZ"/>
              </w:rPr>
            </w:pPr>
            <w:r w:rsidRPr="002C183C">
              <w:rPr>
                <w:rFonts w:eastAsia="Times New Roman" w:cs="Calibri Light"/>
                <w:b/>
                <w:bCs/>
                <w:color w:val="000000"/>
                <w:sz w:val="20"/>
                <w:szCs w:val="20"/>
                <w:lang w:eastAsia="cs-CZ"/>
              </w:rPr>
              <w:t>Další požadavky</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3328208" w14:textId="77777777" w:rsidR="004C7A42" w:rsidRPr="004F6934" w:rsidRDefault="004C7A42" w:rsidP="00B86C4C">
            <w:pPr>
              <w:spacing w:after="0" w:line="240" w:lineRule="auto"/>
              <w:jc w:val="center"/>
              <w:rPr>
                <w:rFonts w:eastAsia="Times New Roman" w:cs="Calibri Light"/>
                <w:b/>
                <w:bCs/>
                <w:i/>
                <w:iCs/>
                <w:sz w:val="20"/>
                <w:szCs w:val="20"/>
                <w:lang w:eastAsia="cs-CZ"/>
              </w:rPr>
            </w:pP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33B34729" w14:textId="77777777" w:rsidR="004C7A42" w:rsidRPr="004F6934" w:rsidRDefault="004C7A42" w:rsidP="00B86C4C">
            <w:pPr>
              <w:spacing w:after="0" w:line="240" w:lineRule="auto"/>
              <w:jc w:val="center"/>
              <w:rPr>
                <w:rFonts w:eastAsia="Times New Roman" w:cs="Calibri Light"/>
                <w:b/>
                <w:bCs/>
                <w:i/>
                <w:iCs/>
                <w:sz w:val="20"/>
                <w:szCs w:val="20"/>
                <w:lang w:eastAsia="cs-CZ"/>
              </w:rPr>
            </w:pPr>
          </w:p>
        </w:tc>
      </w:tr>
      <w:tr w:rsidR="005C7A68" w:rsidRPr="00727F33" w14:paraId="36B9F748"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0EA65201" w14:textId="7C2E3704" w:rsidR="005C7A68" w:rsidRPr="00727F33" w:rsidRDefault="005C7A68" w:rsidP="005C7A68">
            <w:pPr>
              <w:pBdr>
                <w:top w:val="nil"/>
                <w:left w:val="nil"/>
                <w:bottom w:val="nil"/>
                <w:right w:val="nil"/>
                <w:between w:val="nil"/>
              </w:pBdr>
              <w:spacing w:after="0" w:line="240" w:lineRule="auto"/>
              <w:jc w:val="both"/>
              <w:rPr>
                <w:rFonts w:eastAsia="Times New Roman" w:cs="Calibri Light"/>
                <w:color w:val="000000"/>
                <w:sz w:val="20"/>
                <w:szCs w:val="20"/>
                <w:lang w:eastAsia="cs-CZ"/>
              </w:rPr>
            </w:pPr>
            <w:r>
              <w:rPr>
                <w:rFonts w:eastAsia="Times New Roman" w:cs="Calibri Light"/>
                <w:color w:val="000000"/>
                <w:sz w:val="20"/>
                <w:szCs w:val="20"/>
                <w:lang w:eastAsia="cs-CZ"/>
              </w:rPr>
              <w:t xml:space="preserve">Před podpisem smlouvy si vyhrazujeme právo, že zájemce musí dodat demo verzi nabízeného řešení, které splňuje všechny požadavky technické specifikace </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DA4AF15" w14:textId="06DF15E3" w:rsidR="005C7A68" w:rsidRPr="004F6934" w:rsidRDefault="005C7A68" w:rsidP="005C7A68">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1DD6D61" w14:textId="37575532" w:rsidR="005C7A68" w:rsidRPr="004F6934" w:rsidRDefault="005C7A68" w:rsidP="005C7A68">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FA1296" w:rsidRPr="00727F33" w14:paraId="4DD4A44A"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7842E8A8" w14:textId="43B29D76" w:rsidR="00FA1296" w:rsidRDefault="00FA1296" w:rsidP="00FA1296">
            <w:pPr>
              <w:pBdr>
                <w:top w:val="nil"/>
                <w:left w:val="nil"/>
                <w:bottom w:val="nil"/>
                <w:right w:val="nil"/>
                <w:between w:val="nil"/>
              </w:pBdr>
              <w:spacing w:after="0" w:line="240" w:lineRule="auto"/>
              <w:jc w:val="both"/>
              <w:rPr>
                <w:rFonts w:eastAsia="Times New Roman" w:cs="Calibri Light"/>
                <w:color w:val="000000"/>
                <w:sz w:val="20"/>
                <w:szCs w:val="20"/>
                <w:lang w:eastAsia="cs-CZ"/>
              </w:rPr>
            </w:pPr>
            <w:r w:rsidRPr="00727F33">
              <w:rPr>
                <w:rFonts w:cs="Calibri Light"/>
                <w:sz w:val="20"/>
                <w:szCs w:val="20"/>
              </w:rPr>
              <w:t>Přístup na portál podpory výrobce a možnost zakládat tickety na podporu.</w:t>
            </w:r>
          </w:p>
        </w:tc>
        <w:tc>
          <w:tcPr>
            <w:tcW w:w="894" w:type="pct"/>
            <w:tcBorders>
              <w:top w:val="single" w:sz="4" w:space="0" w:color="auto"/>
              <w:left w:val="nil"/>
              <w:bottom w:val="single" w:sz="4" w:space="0" w:color="auto"/>
              <w:right w:val="single" w:sz="4" w:space="0" w:color="auto"/>
            </w:tcBorders>
            <w:shd w:val="clear" w:color="auto" w:fill="FFFF00"/>
            <w:vAlign w:val="center"/>
          </w:tcPr>
          <w:p w14:paraId="39E47024" w14:textId="60A19484" w:rsidR="00FA1296" w:rsidRPr="004F6934" w:rsidRDefault="00FA1296" w:rsidP="00FA1296">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0BAED957" w14:textId="31CB7F6B" w:rsidR="00FA1296" w:rsidRPr="004F6934" w:rsidRDefault="00FA1296" w:rsidP="00FA1296">
            <w:pPr>
              <w:spacing w:after="0"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D4DC1" w14:paraId="4FFD66FF"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31329A07" w14:textId="33DB5F53" w:rsidR="00BD4DC1" w:rsidRDefault="00BD4DC1" w:rsidP="00BD4DC1">
            <w:pPr>
              <w:spacing w:after="200" w:line="276" w:lineRule="auto"/>
              <w:rPr>
                <w:rFonts w:cs="Calibri Light"/>
                <w:sz w:val="20"/>
                <w:szCs w:val="20"/>
              </w:rPr>
            </w:pPr>
            <w:r w:rsidRPr="1FFF0240">
              <w:rPr>
                <w:rFonts w:cs="Calibri Light"/>
                <w:sz w:val="20"/>
                <w:szCs w:val="20"/>
              </w:rPr>
              <w:t>Dodávka musí obsahovat veškeré potřebné licence pro splnění požadovaných vlastností a parametrů</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37B77E3" w14:textId="4D011985" w:rsidR="00BD4DC1" w:rsidRDefault="00BD4DC1" w:rsidP="00BD4DC1">
            <w:pPr>
              <w:spacing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15A63715" w14:textId="3E3CF309" w:rsidR="00BD4DC1" w:rsidRDefault="00BD4DC1" w:rsidP="00BD4DC1">
            <w:pPr>
              <w:spacing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905FA" w14:paraId="0B298C6F"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62B5B7B1" w14:textId="56175ADB" w:rsidR="00B905FA" w:rsidRDefault="00B905FA" w:rsidP="00B905FA">
            <w:pPr>
              <w:spacing w:line="276" w:lineRule="auto"/>
              <w:rPr>
                <w:rFonts w:cs="Calibri Light"/>
                <w:sz w:val="20"/>
                <w:szCs w:val="20"/>
              </w:rPr>
            </w:pPr>
            <w:r w:rsidRPr="1FFF0240">
              <w:rPr>
                <w:rFonts w:cs="Calibri Light"/>
                <w:sz w:val="20"/>
                <w:szCs w:val="20"/>
              </w:rPr>
              <w:lastRenderedPageBreak/>
              <w:t>Implementace dodaného řešení musí být v souladu s nařízením GDPR a NIS2</w:t>
            </w:r>
          </w:p>
        </w:tc>
        <w:tc>
          <w:tcPr>
            <w:tcW w:w="894" w:type="pct"/>
            <w:tcBorders>
              <w:top w:val="single" w:sz="4" w:space="0" w:color="auto"/>
              <w:left w:val="nil"/>
              <w:bottom w:val="single" w:sz="4" w:space="0" w:color="auto"/>
              <w:right w:val="single" w:sz="4" w:space="0" w:color="auto"/>
            </w:tcBorders>
            <w:shd w:val="clear" w:color="auto" w:fill="FFFF00"/>
            <w:vAlign w:val="center"/>
          </w:tcPr>
          <w:p w14:paraId="6A5D7B7A" w14:textId="4EFDC854" w:rsidR="00B905FA" w:rsidRDefault="00B905FA" w:rsidP="00B905FA">
            <w:pPr>
              <w:spacing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5433DF33" w14:textId="78FB2BFC" w:rsidR="00B905FA" w:rsidRDefault="00B905FA" w:rsidP="00B905FA">
            <w:pPr>
              <w:spacing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r w:rsidR="00B905FA" w14:paraId="2E678462" w14:textId="77777777" w:rsidTr="39986556">
        <w:trPr>
          <w:trHeight w:val="288"/>
        </w:trPr>
        <w:tc>
          <w:tcPr>
            <w:tcW w:w="3266" w:type="pct"/>
            <w:tcBorders>
              <w:top w:val="single" w:sz="4" w:space="0" w:color="auto"/>
              <w:left w:val="single" w:sz="4" w:space="0" w:color="auto"/>
              <w:bottom w:val="single" w:sz="4" w:space="0" w:color="auto"/>
              <w:right w:val="single" w:sz="4" w:space="0" w:color="auto"/>
            </w:tcBorders>
            <w:vAlign w:val="center"/>
          </w:tcPr>
          <w:p w14:paraId="4495FA59" w14:textId="5A94CC97" w:rsidR="00B905FA" w:rsidRDefault="00B905FA" w:rsidP="00B905FA">
            <w:pPr>
              <w:spacing w:line="276" w:lineRule="auto"/>
            </w:pPr>
            <w:r w:rsidRPr="1FFF0240">
              <w:rPr>
                <w:rFonts w:ascii="Aptos" w:eastAsia="Aptos" w:hAnsi="Aptos" w:cs="Aptos"/>
                <w:sz w:val="20"/>
                <w:szCs w:val="20"/>
              </w:rPr>
              <w:t>Zajištění vytvoření základní konfigurace řešení, jeho implementace do stávající infrastruktury Zadavatele a následné proškolení určeného personálu pro jeho správu a provoz.</w:t>
            </w:r>
          </w:p>
        </w:tc>
        <w:tc>
          <w:tcPr>
            <w:tcW w:w="894" w:type="pct"/>
            <w:tcBorders>
              <w:top w:val="single" w:sz="4" w:space="0" w:color="auto"/>
              <w:left w:val="nil"/>
              <w:bottom w:val="single" w:sz="4" w:space="0" w:color="auto"/>
              <w:right w:val="single" w:sz="4" w:space="0" w:color="auto"/>
            </w:tcBorders>
            <w:shd w:val="clear" w:color="auto" w:fill="FFFF00"/>
            <w:vAlign w:val="center"/>
          </w:tcPr>
          <w:p w14:paraId="15DA4629" w14:textId="0767A89B" w:rsidR="00B905FA" w:rsidRDefault="00B905FA" w:rsidP="00B905FA">
            <w:pPr>
              <w:spacing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c>
          <w:tcPr>
            <w:tcW w:w="840" w:type="pct"/>
            <w:tcBorders>
              <w:top w:val="single" w:sz="4" w:space="0" w:color="auto"/>
              <w:left w:val="nil"/>
              <w:bottom w:val="single" w:sz="4" w:space="0" w:color="auto"/>
              <w:right w:val="single" w:sz="4" w:space="0" w:color="auto"/>
            </w:tcBorders>
            <w:shd w:val="clear" w:color="auto" w:fill="FFFF00"/>
            <w:noWrap/>
            <w:vAlign w:val="center"/>
          </w:tcPr>
          <w:p w14:paraId="4EFAED23" w14:textId="2EBBF363" w:rsidR="00B905FA" w:rsidRDefault="00B905FA" w:rsidP="00B905FA">
            <w:pPr>
              <w:spacing w:line="240" w:lineRule="auto"/>
              <w:jc w:val="center"/>
              <w:rPr>
                <w:rFonts w:eastAsia="Times New Roman" w:cs="Calibri Light"/>
                <w:b/>
                <w:bCs/>
                <w:i/>
                <w:iCs/>
                <w:sz w:val="20"/>
                <w:szCs w:val="20"/>
                <w:lang w:eastAsia="cs-CZ"/>
              </w:rPr>
            </w:pPr>
            <w:r w:rsidRPr="004F6934">
              <w:rPr>
                <w:rFonts w:eastAsia="Times New Roman" w:cs="Calibri Light"/>
                <w:b/>
                <w:bCs/>
                <w:i/>
                <w:iCs/>
                <w:sz w:val="20"/>
                <w:szCs w:val="20"/>
                <w:lang w:eastAsia="cs-CZ"/>
              </w:rPr>
              <w:t>doplní účastník</w:t>
            </w:r>
          </w:p>
        </w:tc>
      </w:tr>
    </w:tbl>
    <w:p w14:paraId="7641B57D" w14:textId="77777777" w:rsidR="00DD1778" w:rsidRPr="00727F33" w:rsidRDefault="00DD1778">
      <w:pPr>
        <w:rPr>
          <w:rFonts w:cs="Calibri Light"/>
          <w:b/>
          <w:bCs/>
          <w:color w:val="0070C0"/>
          <w:sz w:val="20"/>
          <w:szCs w:val="20"/>
        </w:rPr>
      </w:pPr>
    </w:p>
    <w:p w14:paraId="03D04A3C" w14:textId="77777777" w:rsidR="00032A2C" w:rsidRPr="002B15B7" w:rsidRDefault="00032A2C" w:rsidP="00032A2C">
      <w:pPr>
        <w:rPr>
          <w:rFonts w:ascii="Calibri Light" w:hAnsi="Calibri Light" w:cs="Calibri Light"/>
          <w:b/>
          <w:bCs/>
          <w:sz w:val="22"/>
          <w:szCs w:val="22"/>
          <w:u w:val="single"/>
        </w:rPr>
      </w:pPr>
      <w:r w:rsidRPr="002B15B7">
        <w:rPr>
          <w:rFonts w:ascii="Calibri Light" w:hAnsi="Calibri Light" w:cs="Calibri Light"/>
          <w:b/>
          <w:bCs/>
          <w:sz w:val="22"/>
          <w:szCs w:val="22"/>
          <w:u w:val="single"/>
        </w:rPr>
        <w:t>Cenová kalkulace: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7"/>
        <w:gridCol w:w="2072"/>
        <w:gridCol w:w="2072"/>
        <w:gridCol w:w="2251"/>
      </w:tblGrid>
      <w:tr w:rsidR="00B6670E" w:rsidRPr="002B15B7" w14:paraId="3EF13B86" w14:textId="77777777" w:rsidTr="00B6670E">
        <w:trPr>
          <w:trHeight w:val="945"/>
          <w:jc w:val="center"/>
        </w:trPr>
        <w:tc>
          <w:tcPr>
            <w:tcW w:w="1472" w:type="pct"/>
            <w:vAlign w:val="center"/>
            <w:hideMark/>
          </w:tcPr>
          <w:p w14:paraId="711BA732" w14:textId="030ECC9F" w:rsidR="00B6670E" w:rsidRPr="002B15B7" w:rsidRDefault="00B6670E" w:rsidP="00605C25">
            <w:pPr>
              <w:spacing w:after="0"/>
              <w:jc w:val="center"/>
              <w:rPr>
                <w:rFonts w:ascii="Calibri Light" w:eastAsia="Times New Roman" w:hAnsi="Calibri Light" w:cs="Calibri Light"/>
                <w:b/>
                <w:bCs/>
                <w:sz w:val="22"/>
                <w:szCs w:val="22"/>
                <w:lang w:eastAsia="cs-CZ"/>
              </w:rPr>
            </w:pPr>
            <w:r w:rsidRPr="002B15B7">
              <w:rPr>
                <w:rFonts w:ascii="Calibri Light" w:eastAsia="Times New Roman" w:hAnsi="Calibri Light" w:cs="Calibri Light"/>
                <w:b/>
                <w:bCs/>
                <w:sz w:val="22"/>
                <w:szCs w:val="22"/>
                <w:lang w:eastAsia="cs-CZ"/>
              </w:rPr>
              <w:t>Položka</w:t>
            </w:r>
          </w:p>
        </w:tc>
        <w:tc>
          <w:tcPr>
            <w:tcW w:w="1143" w:type="pct"/>
            <w:vAlign w:val="center"/>
          </w:tcPr>
          <w:p w14:paraId="261799B9" w14:textId="77777777" w:rsidR="00B6670E" w:rsidRPr="002B15B7" w:rsidRDefault="00B6670E" w:rsidP="00605C25">
            <w:pPr>
              <w:spacing w:after="0"/>
              <w:jc w:val="center"/>
              <w:rPr>
                <w:rFonts w:ascii="Calibri Light" w:eastAsia="Times New Roman" w:hAnsi="Calibri Light" w:cs="Calibri Light"/>
                <w:b/>
                <w:bCs/>
                <w:sz w:val="22"/>
                <w:szCs w:val="22"/>
                <w:lang w:eastAsia="cs-CZ"/>
              </w:rPr>
            </w:pPr>
            <w:r w:rsidRPr="002B15B7">
              <w:rPr>
                <w:rFonts w:ascii="Calibri Light" w:eastAsia="Times New Roman" w:hAnsi="Calibri Light" w:cs="Calibri Light"/>
                <w:b/>
                <w:bCs/>
                <w:sz w:val="22"/>
                <w:szCs w:val="22"/>
                <w:lang w:eastAsia="cs-CZ"/>
              </w:rPr>
              <w:t xml:space="preserve">celkem Kč </w:t>
            </w:r>
          </w:p>
          <w:p w14:paraId="4DB38651" w14:textId="1D8583A2" w:rsidR="00B6670E" w:rsidRPr="002B15B7" w:rsidRDefault="00B6670E" w:rsidP="00605C25">
            <w:pPr>
              <w:spacing w:after="0"/>
              <w:jc w:val="center"/>
              <w:rPr>
                <w:rFonts w:ascii="Calibri Light" w:eastAsia="Times New Roman" w:hAnsi="Calibri Light" w:cs="Calibri Light"/>
                <w:b/>
                <w:bCs/>
                <w:sz w:val="22"/>
                <w:szCs w:val="22"/>
                <w:lang w:eastAsia="cs-CZ"/>
              </w:rPr>
            </w:pPr>
            <w:r w:rsidRPr="002B15B7">
              <w:rPr>
                <w:rFonts w:ascii="Calibri Light" w:eastAsia="Times New Roman" w:hAnsi="Calibri Light" w:cs="Calibri Light"/>
                <w:b/>
                <w:bCs/>
                <w:sz w:val="22"/>
                <w:szCs w:val="22"/>
                <w:lang w:eastAsia="cs-CZ"/>
              </w:rPr>
              <w:t>bez DPH</w:t>
            </w:r>
          </w:p>
        </w:tc>
        <w:tc>
          <w:tcPr>
            <w:tcW w:w="1143" w:type="pct"/>
            <w:vAlign w:val="center"/>
          </w:tcPr>
          <w:p w14:paraId="7B34B407" w14:textId="77777777" w:rsidR="00B6670E" w:rsidRPr="002B15B7" w:rsidRDefault="00B6670E" w:rsidP="00605C25">
            <w:pPr>
              <w:spacing w:after="0"/>
              <w:jc w:val="center"/>
              <w:rPr>
                <w:rFonts w:ascii="Calibri Light" w:eastAsia="Times New Roman" w:hAnsi="Calibri Light" w:cs="Calibri Light"/>
                <w:b/>
                <w:bCs/>
                <w:sz w:val="22"/>
                <w:szCs w:val="22"/>
                <w:lang w:eastAsia="cs-CZ"/>
              </w:rPr>
            </w:pPr>
            <w:r w:rsidRPr="002B15B7">
              <w:rPr>
                <w:rFonts w:ascii="Calibri Light" w:eastAsia="Times New Roman" w:hAnsi="Calibri Light" w:cs="Calibri Light"/>
                <w:b/>
                <w:bCs/>
                <w:sz w:val="22"/>
                <w:szCs w:val="22"/>
                <w:lang w:eastAsia="cs-CZ"/>
              </w:rPr>
              <w:t>celkem Kč DPH 21 %</w:t>
            </w:r>
          </w:p>
        </w:tc>
        <w:tc>
          <w:tcPr>
            <w:tcW w:w="1242" w:type="pct"/>
            <w:vAlign w:val="center"/>
            <w:hideMark/>
          </w:tcPr>
          <w:p w14:paraId="2FEB723F" w14:textId="77777777" w:rsidR="00B6670E" w:rsidRPr="002B15B7" w:rsidRDefault="00B6670E" w:rsidP="00605C25">
            <w:pPr>
              <w:spacing w:after="0"/>
              <w:jc w:val="center"/>
              <w:rPr>
                <w:rFonts w:ascii="Calibri Light" w:eastAsia="Times New Roman" w:hAnsi="Calibri Light" w:cs="Calibri Light"/>
                <w:b/>
                <w:bCs/>
                <w:sz w:val="22"/>
                <w:szCs w:val="22"/>
                <w:lang w:eastAsia="cs-CZ"/>
              </w:rPr>
            </w:pPr>
            <w:r w:rsidRPr="002B15B7">
              <w:rPr>
                <w:rFonts w:ascii="Calibri Light" w:eastAsia="Times New Roman" w:hAnsi="Calibri Light" w:cs="Calibri Light"/>
                <w:b/>
                <w:bCs/>
                <w:sz w:val="22"/>
                <w:szCs w:val="22"/>
                <w:lang w:eastAsia="cs-CZ"/>
              </w:rPr>
              <w:t xml:space="preserve">Celkem Kč </w:t>
            </w:r>
          </w:p>
          <w:p w14:paraId="768A9E8B" w14:textId="77777777" w:rsidR="00B6670E" w:rsidRPr="002B15B7" w:rsidRDefault="00B6670E" w:rsidP="00605C25">
            <w:pPr>
              <w:spacing w:after="0"/>
              <w:jc w:val="center"/>
              <w:rPr>
                <w:rFonts w:ascii="Calibri Light" w:eastAsia="Times New Roman" w:hAnsi="Calibri Light" w:cs="Calibri Light"/>
                <w:b/>
                <w:bCs/>
                <w:sz w:val="22"/>
                <w:szCs w:val="22"/>
                <w:lang w:eastAsia="cs-CZ"/>
              </w:rPr>
            </w:pPr>
            <w:r w:rsidRPr="002B15B7">
              <w:rPr>
                <w:rFonts w:ascii="Calibri Light" w:eastAsia="Times New Roman" w:hAnsi="Calibri Light" w:cs="Calibri Light"/>
                <w:b/>
                <w:bCs/>
                <w:sz w:val="22"/>
                <w:szCs w:val="22"/>
                <w:lang w:eastAsia="cs-CZ"/>
              </w:rPr>
              <w:t>s DPH</w:t>
            </w:r>
          </w:p>
        </w:tc>
      </w:tr>
      <w:tr w:rsidR="00B6670E" w:rsidRPr="002B15B7" w14:paraId="449FF09F" w14:textId="77777777" w:rsidTr="00B6670E">
        <w:trPr>
          <w:trHeight w:val="421"/>
          <w:jc w:val="center"/>
        </w:trPr>
        <w:tc>
          <w:tcPr>
            <w:tcW w:w="1472" w:type="pct"/>
            <w:vAlign w:val="center"/>
          </w:tcPr>
          <w:p w14:paraId="4785556D" w14:textId="66E97267" w:rsidR="00B6670E" w:rsidRPr="002B15B7" w:rsidRDefault="00B6670E" w:rsidP="004924D6">
            <w:pPr>
              <w:spacing w:after="0"/>
              <w:jc w:val="center"/>
              <w:rPr>
                <w:rFonts w:ascii="Calibri Light" w:eastAsia="Times New Roman" w:hAnsi="Calibri Light" w:cs="Calibri Light"/>
                <w:sz w:val="22"/>
                <w:szCs w:val="22"/>
                <w:lang w:eastAsia="cs-CZ"/>
              </w:rPr>
            </w:pPr>
            <w:r w:rsidRPr="002B15B7">
              <w:rPr>
                <w:rFonts w:ascii="Calibri Light" w:eastAsia="Times New Roman" w:hAnsi="Calibri Light" w:cs="Calibri Light"/>
                <w:sz w:val="22"/>
                <w:szCs w:val="22"/>
                <w:lang w:eastAsia="cs-CZ"/>
              </w:rPr>
              <w:t>Přístup k XDR konzoli</w:t>
            </w:r>
          </w:p>
        </w:tc>
        <w:tc>
          <w:tcPr>
            <w:tcW w:w="1143" w:type="pct"/>
            <w:shd w:val="clear" w:color="auto" w:fill="FFFF00"/>
            <w:vAlign w:val="center"/>
          </w:tcPr>
          <w:p w14:paraId="4C1B4F6E" w14:textId="1486546D"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143" w:type="pct"/>
            <w:shd w:val="clear" w:color="auto" w:fill="FFFF00"/>
            <w:vAlign w:val="center"/>
          </w:tcPr>
          <w:p w14:paraId="4EC2FB3D" w14:textId="6628593B"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242" w:type="pct"/>
            <w:shd w:val="clear" w:color="auto" w:fill="FFFF00"/>
            <w:vAlign w:val="center"/>
          </w:tcPr>
          <w:p w14:paraId="292D298E" w14:textId="347E1D75"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r>
      <w:tr w:rsidR="00B6670E" w:rsidRPr="002B15B7" w14:paraId="09305184" w14:textId="77777777" w:rsidTr="00B6670E">
        <w:trPr>
          <w:trHeight w:val="421"/>
          <w:jc w:val="center"/>
        </w:trPr>
        <w:tc>
          <w:tcPr>
            <w:tcW w:w="1472" w:type="pct"/>
            <w:vAlign w:val="center"/>
          </w:tcPr>
          <w:p w14:paraId="44B5FD13" w14:textId="6364D637" w:rsidR="00B6670E" w:rsidRPr="002B15B7" w:rsidRDefault="00B6670E" w:rsidP="00B6670E">
            <w:pPr>
              <w:spacing w:after="0"/>
              <w:jc w:val="center"/>
              <w:rPr>
                <w:rFonts w:ascii="Calibri Light" w:eastAsia="Times New Roman" w:hAnsi="Calibri Light" w:cs="Calibri Light"/>
                <w:sz w:val="22"/>
                <w:szCs w:val="22"/>
                <w:lang w:eastAsia="cs-CZ"/>
              </w:rPr>
            </w:pPr>
            <w:r w:rsidRPr="002B15B7">
              <w:rPr>
                <w:rFonts w:ascii="Calibri Light" w:eastAsia="Times New Roman" w:hAnsi="Calibri Light" w:cs="Calibri Light"/>
                <w:sz w:val="22"/>
                <w:szCs w:val="22"/>
                <w:lang w:eastAsia="cs-CZ"/>
              </w:rPr>
              <w:t>Implementace, zaškolení 1MD</w:t>
            </w:r>
          </w:p>
        </w:tc>
        <w:tc>
          <w:tcPr>
            <w:tcW w:w="1143" w:type="pct"/>
            <w:shd w:val="clear" w:color="auto" w:fill="FFFF00"/>
            <w:vAlign w:val="center"/>
          </w:tcPr>
          <w:p w14:paraId="51D0C86A" w14:textId="635EF1ED" w:rsidR="00B6670E" w:rsidRPr="002B15B7" w:rsidRDefault="00B6670E" w:rsidP="00B6670E">
            <w:pPr>
              <w:spacing w:after="0"/>
              <w:jc w:val="center"/>
              <w:rPr>
                <w:rFonts w:ascii="Calibri Light" w:eastAsia="Times New Roman" w:hAnsi="Calibri Light" w:cs="Calibri Light"/>
                <w:b/>
                <w:bCs/>
                <w:i/>
                <w:iCs/>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143" w:type="pct"/>
            <w:shd w:val="clear" w:color="auto" w:fill="FFFF00"/>
            <w:vAlign w:val="center"/>
          </w:tcPr>
          <w:p w14:paraId="51A57654" w14:textId="4C73FA4C" w:rsidR="00B6670E" w:rsidRPr="002B15B7" w:rsidRDefault="00B6670E" w:rsidP="00B6670E">
            <w:pPr>
              <w:spacing w:after="0"/>
              <w:jc w:val="center"/>
              <w:rPr>
                <w:rFonts w:ascii="Calibri Light" w:eastAsia="Times New Roman" w:hAnsi="Calibri Light" w:cs="Calibri Light"/>
                <w:b/>
                <w:bCs/>
                <w:i/>
                <w:iCs/>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242" w:type="pct"/>
            <w:shd w:val="clear" w:color="auto" w:fill="FFFF00"/>
            <w:vAlign w:val="center"/>
          </w:tcPr>
          <w:p w14:paraId="53B95CF7" w14:textId="1856105A" w:rsidR="00B6670E" w:rsidRPr="002B15B7" w:rsidRDefault="00B6670E" w:rsidP="00B6670E">
            <w:pPr>
              <w:spacing w:after="0"/>
              <w:jc w:val="center"/>
              <w:rPr>
                <w:rFonts w:ascii="Calibri Light" w:eastAsia="Times New Roman" w:hAnsi="Calibri Light" w:cs="Calibri Light"/>
                <w:b/>
                <w:bCs/>
                <w:i/>
                <w:iCs/>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r>
      <w:tr w:rsidR="00B6670E" w:rsidRPr="002B15B7" w14:paraId="6007672D" w14:textId="77777777" w:rsidTr="00B6670E">
        <w:trPr>
          <w:trHeight w:val="421"/>
          <w:jc w:val="center"/>
        </w:trPr>
        <w:tc>
          <w:tcPr>
            <w:tcW w:w="1472" w:type="pct"/>
            <w:vAlign w:val="center"/>
          </w:tcPr>
          <w:p w14:paraId="46DEDAE7" w14:textId="47CD456F" w:rsidR="00B6670E" w:rsidRPr="002B15B7" w:rsidRDefault="00B6670E" w:rsidP="004924D6">
            <w:pPr>
              <w:spacing w:after="0"/>
              <w:jc w:val="center"/>
              <w:rPr>
                <w:rFonts w:ascii="Calibri Light" w:eastAsia="Times New Roman" w:hAnsi="Calibri Light" w:cs="Calibri Light"/>
                <w:sz w:val="22"/>
                <w:szCs w:val="22"/>
                <w:lang w:eastAsia="cs-CZ"/>
              </w:rPr>
            </w:pPr>
            <w:r w:rsidRPr="002B15B7">
              <w:rPr>
                <w:rFonts w:ascii="Calibri Light" w:eastAsia="Times New Roman" w:hAnsi="Calibri Light" w:cs="Calibri Light"/>
                <w:sz w:val="22"/>
                <w:szCs w:val="22"/>
                <w:lang w:eastAsia="cs-CZ"/>
              </w:rPr>
              <w:t xml:space="preserve">Licence na 90 PC </w:t>
            </w:r>
            <w:r w:rsidR="00837D28" w:rsidRPr="002B15B7">
              <w:rPr>
                <w:rFonts w:ascii="Calibri Light" w:eastAsia="Times New Roman" w:hAnsi="Calibri Light" w:cs="Calibri Light"/>
                <w:sz w:val="22"/>
                <w:szCs w:val="22"/>
                <w:lang w:eastAsia="cs-CZ"/>
              </w:rPr>
              <w:br/>
            </w:r>
            <w:r w:rsidRPr="002B15B7">
              <w:rPr>
                <w:rFonts w:ascii="Calibri Light" w:eastAsia="Times New Roman" w:hAnsi="Calibri Light" w:cs="Calibri Light"/>
                <w:sz w:val="22"/>
                <w:szCs w:val="22"/>
                <w:lang w:eastAsia="cs-CZ"/>
              </w:rPr>
              <w:t>a 12 serverů z</w:t>
            </w:r>
            <w:r w:rsidR="00837D28" w:rsidRPr="002B15B7">
              <w:rPr>
                <w:rFonts w:ascii="Calibri Light" w:eastAsia="Times New Roman" w:hAnsi="Calibri Light" w:cs="Calibri Light"/>
                <w:sz w:val="22"/>
                <w:szCs w:val="22"/>
                <w:lang w:eastAsia="cs-CZ"/>
              </w:rPr>
              <w:t>a</w:t>
            </w:r>
            <w:r w:rsidRPr="002B15B7">
              <w:rPr>
                <w:rFonts w:ascii="Calibri Light" w:eastAsia="Times New Roman" w:hAnsi="Calibri Light" w:cs="Calibri Light"/>
                <w:sz w:val="22"/>
                <w:szCs w:val="22"/>
                <w:lang w:eastAsia="cs-CZ"/>
              </w:rPr>
              <w:t xml:space="preserve"> 1. rok </w:t>
            </w:r>
          </w:p>
        </w:tc>
        <w:tc>
          <w:tcPr>
            <w:tcW w:w="1143" w:type="pct"/>
            <w:shd w:val="clear" w:color="auto" w:fill="FFFF00"/>
            <w:vAlign w:val="center"/>
          </w:tcPr>
          <w:p w14:paraId="2914C603" w14:textId="00619851"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143" w:type="pct"/>
            <w:shd w:val="clear" w:color="auto" w:fill="FFFF00"/>
            <w:vAlign w:val="center"/>
          </w:tcPr>
          <w:p w14:paraId="1CFD35D6" w14:textId="34F42BAA"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242" w:type="pct"/>
            <w:shd w:val="clear" w:color="auto" w:fill="FFFF00"/>
            <w:vAlign w:val="center"/>
          </w:tcPr>
          <w:p w14:paraId="390716ED" w14:textId="653CD649"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r>
      <w:tr w:rsidR="00B6670E" w:rsidRPr="002B15B7" w14:paraId="58690C3D" w14:textId="77777777" w:rsidTr="00B6670E">
        <w:trPr>
          <w:trHeight w:val="421"/>
          <w:jc w:val="center"/>
        </w:trPr>
        <w:tc>
          <w:tcPr>
            <w:tcW w:w="1472" w:type="pct"/>
            <w:vAlign w:val="center"/>
          </w:tcPr>
          <w:p w14:paraId="170E0477" w14:textId="2F2FAC65" w:rsidR="00B6670E" w:rsidRPr="002B15B7" w:rsidRDefault="00B6670E" w:rsidP="004924D6">
            <w:pPr>
              <w:spacing w:after="0"/>
              <w:jc w:val="center"/>
              <w:rPr>
                <w:rFonts w:ascii="Calibri Light" w:eastAsia="Times New Roman" w:hAnsi="Calibri Light" w:cs="Calibri Light"/>
                <w:sz w:val="22"/>
                <w:szCs w:val="22"/>
                <w:lang w:eastAsia="cs-CZ"/>
              </w:rPr>
            </w:pPr>
            <w:r w:rsidRPr="002B15B7">
              <w:rPr>
                <w:rFonts w:ascii="Calibri Light" w:eastAsia="Times New Roman" w:hAnsi="Calibri Light" w:cs="Calibri Light"/>
                <w:sz w:val="22"/>
                <w:szCs w:val="22"/>
                <w:lang w:eastAsia="cs-CZ"/>
              </w:rPr>
              <w:t>Licence na 90 PC a 12 serverů za 2. a 3. rok dohromady</w:t>
            </w:r>
          </w:p>
        </w:tc>
        <w:tc>
          <w:tcPr>
            <w:tcW w:w="1143" w:type="pct"/>
            <w:shd w:val="clear" w:color="auto" w:fill="FFFF00"/>
            <w:vAlign w:val="center"/>
          </w:tcPr>
          <w:p w14:paraId="04BB863D" w14:textId="3B1D102D"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143" w:type="pct"/>
            <w:shd w:val="clear" w:color="auto" w:fill="FFFF00"/>
            <w:vAlign w:val="center"/>
          </w:tcPr>
          <w:p w14:paraId="291979B9" w14:textId="163BDC92"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242" w:type="pct"/>
            <w:shd w:val="clear" w:color="auto" w:fill="FFFF00"/>
            <w:vAlign w:val="center"/>
          </w:tcPr>
          <w:p w14:paraId="515F8473" w14:textId="69F5A4FB"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r>
      <w:tr w:rsidR="00B6670E" w:rsidRPr="002B15B7" w14:paraId="517F7E83" w14:textId="77777777" w:rsidTr="00B6670E">
        <w:trPr>
          <w:trHeight w:val="421"/>
          <w:jc w:val="center"/>
        </w:trPr>
        <w:tc>
          <w:tcPr>
            <w:tcW w:w="1472" w:type="pct"/>
            <w:shd w:val="clear" w:color="auto" w:fill="FFFF00"/>
            <w:vAlign w:val="center"/>
          </w:tcPr>
          <w:p w14:paraId="4FA2B74F" w14:textId="42111B00" w:rsidR="00B6670E" w:rsidRPr="002B15B7" w:rsidRDefault="00B6670E" w:rsidP="004924D6">
            <w:pPr>
              <w:spacing w:after="0"/>
              <w:jc w:val="center"/>
              <w:rPr>
                <w:rFonts w:ascii="Calibri Light" w:eastAsia="Times New Roman" w:hAnsi="Calibri Light" w:cs="Calibri Light"/>
                <w:sz w:val="22"/>
                <w:szCs w:val="22"/>
                <w:lang w:eastAsia="cs-CZ"/>
              </w:rPr>
            </w:pPr>
            <w:r w:rsidRPr="002B15B7">
              <w:rPr>
                <w:rFonts w:ascii="Calibri Light" w:eastAsia="Times New Roman" w:hAnsi="Calibri Light" w:cs="Calibri Light"/>
                <w:b/>
                <w:bCs/>
                <w:sz w:val="22"/>
                <w:szCs w:val="22"/>
                <w:lang w:eastAsia="cs-CZ"/>
              </w:rPr>
              <w:t xml:space="preserve">CELKOVÁ CENA </w:t>
            </w:r>
          </w:p>
        </w:tc>
        <w:tc>
          <w:tcPr>
            <w:tcW w:w="1143" w:type="pct"/>
            <w:shd w:val="clear" w:color="auto" w:fill="FFFF00"/>
            <w:vAlign w:val="center"/>
          </w:tcPr>
          <w:p w14:paraId="131DC567" w14:textId="04CA7648"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143" w:type="pct"/>
            <w:shd w:val="clear" w:color="auto" w:fill="FFFF00"/>
            <w:vAlign w:val="center"/>
          </w:tcPr>
          <w:p w14:paraId="782AAE92" w14:textId="28753BA6"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c>
          <w:tcPr>
            <w:tcW w:w="1242" w:type="pct"/>
            <w:shd w:val="clear" w:color="auto" w:fill="FFFF00"/>
            <w:vAlign w:val="center"/>
          </w:tcPr>
          <w:p w14:paraId="1878130C" w14:textId="545AD43B" w:rsidR="00B6670E" w:rsidRPr="002B15B7" w:rsidRDefault="00B6670E" w:rsidP="00B6670E">
            <w:pPr>
              <w:spacing w:after="0"/>
              <w:jc w:val="center"/>
              <w:rPr>
                <w:rFonts w:ascii="Calibri Light" w:eastAsia="Times New Roman" w:hAnsi="Calibri Light" w:cs="Calibri Light"/>
                <w:sz w:val="22"/>
                <w:szCs w:val="22"/>
                <w:highlight w:val="yellow"/>
                <w:lang w:eastAsia="cs-CZ"/>
              </w:rPr>
            </w:pPr>
            <w:r w:rsidRPr="002B15B7">
              <w:rPr>
                <w:rFonts w:ascii="Calibri Light" w:eastAsia="Times New Roman" w:hAnsi="Calibri Light" w:cs="Calibri Light"/>
                <w:b/>
                <w:bCs/>
                <w:i/>
                <w:iCs/>
                <w:sz w:val="22"/>
                <w:szCs w:val="22"/>
                <w:highlight w:val="yellow"/>
                <w:lang w:eastAsia="cs-CZ"/>
              </w:rPr>
              <w:t>doplní účastník</w:t>
            </w:r>
          </w:p>
        </w:tc>
      </w:tr>
    </w:tbl>
    <w:p w14:paraId="1E31D17A" w14:textId="77777777" w:rsidR="00775918" w:rsidRDefault="00775918">
      <w:pPr>
        <w:rPr>
          <w:rFonts w:cs="Calibri Light"/>
          <w:sz w:val="20"/>
          <w:szCs w:val="20"/>
        </w:rPr>
      </w:pPr>
    </w:p>
    <w:p w14:paraId="42BFBE18" w14:textId="77777777" w:rsidR="004924D6" w:rsidRPr="007C1AFE" w:rsidRDefault="004924D6" w:rsidP="004924D6">
      <w:pPr>
        <w:spacing w:line="276" w:lineRule="auto"/>
        <w:rPr>
          <w:rFonts w:ascii="Calibri Light" w:eastAsia="Calibri" w:hAnsi="Calibri Light" w:cs="Calibri Light"/>
          <w:kern w:val="0"/>
          <w:sz w:val="22"/>
          <w:szCs w:val="22"/>
          <w14:ligatures w14:val="none"/>
        </w:rPr>
      </w:pPr>
      <w:bookmarkStart w:id="0" w:name="_Hlk29283627"/>
      <w:r w:rsidRPr="007C1AFE">
        <w:rPr>
          <w:rFonts w:ascii="Calibri Light" w:eastAsia="Calibri" w:hAnsi="Calibri Light" w:cs="Calibri Light"/>
          <w:kern w:val="0"/>
          <w:sz w:val="22"/>
          <w:szCs w:val="22"/>
          <w14:ligatures w14:val="none"/>
        </w:rPr>
        <w:t>V </w:t>
      </w:r>
      <w:sdt>
        <w:sdtPr>
          <w:rPr>
            <w:rFonts w:ascii="Calibri Light" w:eastAsia="Calibri" w:hAnsi="Calibri Light" w:cs="Calibri Light"/>
            <w:kern w:val="0"/>
            <w:sz w:val="22"/>
            <w:szCs w:val="22"/>
            <w14:ligatures w14:val="none"/>
          </w:rPr>
          <w:id w:val="-511830191"/>
          <w:placeholder>
            <w:docPart w:val="F089DDD1E4D749C4BD197467392BF836"/>
          </w:placeholder>
          <w:showingPlcHdr/>
        </w:sdtPr>
        <w:sdtEndPr/>
        <w:sdtContent>
          <w:r w:rsidRPr="007C1AFE">
            <w:rPr>
              <w:rFonts w:ascii="Calibri Light" w:eastAsia="Calibri" w:hAnsi="Calibri Light" w:cs="Calibri Light"/>
              <w:kern w:val="0"/>
              <w:sz w:val="22"/>
              <w:szCs w:val="22"/>
              <w:highlight w:val="yellow"/>
              <w14:ligatures w14:val="none"/>
            </w:rPr>
            <w:t>místo</w:t>
          </w:r>
        </w:sdtContent>
      </w:sdt>
      <w:r w:rsidRPr="007C1AFE">
        <w:rPr>
          <w:rFonts w:ascii="Calibri Light" w:eastAsia="Calibri" w:hAnsi="Calibri Light" w:cs="Calibri Light"/>
          <w:kern w:val="0"/>
          <w:sz w:val="22"/>
          <w:szCs w:val="22"/>
          <w14:ligatures w14:val="none"/>
        </w:rPr>
        <w:t xml:space="preserve"> dne </w:t>
      </w:r>
      <w:sdt>
        <w:sdtPr>
          <w:rPr>
            <w:rFonts w:ascii="Calibri Light" w:eastAsia="Calibri" w:hAnsi="Calibri Light" w:cs="Calibri Light"/>
            <w:kern w:val="0"/>
            <w:sz w:val="22"/>
            <w:szCs w:val="22"/>
            <w14:ligatures w14:val="none"/>
          </w:rPr>
          <w:id w:val="729812667"/>
          <w:placeholder>
            <w:docPart w:val="C16A8E33B40D45BD94A5C00929D47B6D"/>
          </w:placeholder>
          <w:showingPlcHdr/>
        </w:sdtPr>
        <w:sdtEndPr/>
        <w:sdtContent>
          <w:r w:rsidRPr="007C1AFE">
            <w:rPr>
              <w:rFonts w:ascii="Calibri Light" w:eastAsia="Calibri" w:hAnsi="Calibri Light" w:cs="Calibri Light"/>
              <w:kern w:val="0"/>
              <w:sz w:val="22"/>
              <w:szCs w:val="22"/>
              <w:highlight w:val="yellow"/>
              <w14:ligatures w14:val="none"/>
            </w:rPr>
            <w:t>datum</w:t>
          </w:r>
        </w:sdtContent>
      </w:sdt>
    </w:p>
    <w:p w14:paraId="50EC6826" w14:textId="77777777" w:rsidR="004924D6" w:rsidRPr="007C1AFE" w:rsidRDefault="004924D6" w:rsidP="004924D6">
      <w:pPr>
        <w:spacing w:line="276" w:lineRule="auto"/>
        <w:rPr>
          <w:rFonts w:ascii="Calibri Light" w:eastAsia="Calibri" w:hAnsi="Calibri Light" w:cs="Calibri Light"/>
          <w:kern w:val="0"/>
          <w:sz w:val="22"/>
          <w:szCs w:val="22"/>
          <w14:ligatures w14:val="none"/>
        </w:rPr>
      </w:pPr>
      <w:r w:rsidRPr="007C1AFE">
        <w:rPr>
          <w:rFonts w:ascii="Calibri Light" w:eastAsia="Calibri" w:hAnsi="Calibri Light" w:cs="Calibri Light"/>
          <w:kern w:val="0"/>
          <w:sz w:val="22"/>
          <w:szCs w:val="22"/>
          <w14:ligatures w14:val="none"/>
        </w:rPr>
        <w:t xml:space="preserve"> </w:t>
      </w:r>
      <w:sdt>
        <w:sdtPr>
          <w:rPr>
            <w:rFonts w:ascii="Calibri Light" w:eastAsia="Calibri" w:hAnsi="Calibri Light" w:cs="Calibri Light"/>
            <w:kern w:val="0"/>
            <w:sz w:val="22"/>
            <w:szCs w:val="22"/>
            <w14:ligatures w14:val="none"/>
          </w:rPr>
          <w:id w:val="2091581915"/>
          <w:placeholder>
            <w:docPart w:val="62D59280CE2049C680BC6C2287877E5B"/>
          </w:placeholder>
          <w:showingPlcHdr/>
        </w:sdtPr>
        <w:sdtEndPr/>
        <w:sdtContent>
          <w:r w:rsidRPr="007C1AFE">
            <w:rPr>
              <w:rFonts w:ascii="Calibri Light" w:eastAsia="Calibri" w:hAnsi="Calibri Light" w:cs="Calibri Light"/>
              <w:kern w:val="0"/>
              <w:sz w:val="22"/>
              <w:szCs w:val="22"/>
              <w:highlight w:val="yellow"/>
              <w14:ligatures w14:val="none"/>
            </w:rPr>
            <w:t>Jméno, funkce, podpis</w:t>
          </w:r>
        </w:sdtContent>
      </w:sdt>
      <w:bookmarkEnd w:id="0"/>
    </w:p>
    <w:p w14:paraId="015C0886" w14:textId="77777777" w:rsidR="004924D6" w:rsidRPr="00727F33" w:rsidRDefault="004924D6">
      <w:pPr>
        <w:rPr>
          <w:rFonts w:cs="Calibri Light"/>
          <w:sz w:val="20"/>
          <w:szCs w:val="20"/>
        </w:rPr>
      </w:pPr>
    </w:p>
    <w:sectPr w:rsidR="004924D6" w:rsidRPr="00727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36B5"/>
    <w:multiLevelType w:val="hybridMultilevel"/>
    <w:tmpl w:val="E9088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215639"/>
    <w:multiLevelType w:val="hybridMultilevel"/>
    <w:tmpl w:val="0F521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3C3901"/>
    <w:multiLevelType w:val="hybridMultilevel"/>
    <w:tmpl w:val="332A1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7F27C5"/>
    <w:multiLevelType w:val="hybridMultilevel"/>
    <w:tmpl w:val="3FA87F50"/>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3B130F10"/>
    <w:multiLevelType w:val="hybridMultilevel"/>
    <w:tmpl w:val="20DE2E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415B75B0"/>
    <w:multiLevelType w:val="hybridMultilevel"/>
    <w:tmpl w:val="40C08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617C9D"/>
    <w:multiLevelType w:val="multilevel"/>
    <w:tmpl w:val="FFFFFFFF"/>
    <w:lvl w:ilvl="0">
      <w:start w:val="1"/>
      <w:numFmt w:val="decimal"/>
      <w:lvlText w:val="(%1)"/>
      <w:lvlJc w:val="left"/>
      <w:pPr>
        <w:ind w:left="510" w:hanging="45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6E895438"/>
    <w:multiLevelType w:val="hybridMultilevel"/>
    <w:tmpl w:val="43C2EE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6534912">
    <w:abstractNumId w:val="1"/>
  </w:num>
  <w:num w:numId="2" w16cid:durableId="162864083">
    <w:abstractNumId w:val="2"/>
  </w:num>
  <w:num w:numId="3" w16cid:durableId="191185829">
    <w:abstractNumId w:val="5"/>
  </w:num>
  <w:num w:numId="4" w16cid:durableId="2107385187">
    <w:abstractNumId w:val="7"/>
  </w:num>
  <w:num w:numId="5" w16cid:durableId="540636305">
    <w:abstractNumId w:val="6"/>
  </w:num>
  <w:num w:numId="6" w16cid:durableId="584147277">
    <w:abstractNumId w:val="0"/>
  </w:num>
  <w:num w:numId="7" w16cid:durableId="62027260">
    <w:abstractNumId w:val="3"/>
  </w:num>
  <w:num w:numId="8" w16cid:durableId="62299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5A"/>
    <w:rsid w:val="00003F6B"/>
    <w:rsid w:val="00015880"/>
    <w:rsid w:val="00032A2C"/>
    <w:rsid w:val="00036378"/>
    <w:rsid w:val="00056DD6"/>
    <w:rsid w:val="00090C91"/>
    <w:rsid w:val="000967EA"/>
    <w:rsid w:val="000A2EE2"/>
    <w:rsid w:val="000B15AB"/>
    <w:rsid w:val="000C05EF"/>
    <w:rsid w:val="000C477F"/>
    <w:rsid w:val="000F2866"/>
    <w:rsid w:val="001202A2"/>
    <w:rsid w:val="00142617"/>
    <w:rsid w:val="00150D58"/>
    <w:rsid w:val="00151F0A"/>
    <w:rsid w:val="0016111D"/>
    <w:rsid w:val="0016285A"/>
    <w:rsid w:val="001931CA"/>
    <w:rsid w:val="001B43BE"/>
    <w:rsid w:val="001B5E29"/>
    <w:rsid w:val="001C7A00"/>
    <w:rsid w:val="001F71BE"/>
    <w:rsid w:val="0020629B"/>
    <w:rsid w:val="00237F98"/>
    <w:rsid w:val="00240D71"/>
    <w:rsid w:val="002B11C8"/>
    <w:rsid w:val="002B15B7"/>
    <w:rsid w:val="002C0476"/>
    <w:rsid w:val="002C183C"/>
    <w:rsid w:val="002D47AA"/>
    <w:rsid w:val="002E7ADA"/>
    <w:rsid w:val="002F7C33"/>
    <w:rsid w:val="00314415"/>
    <w:rsid w:val="00324EF3"/>
    <w:rsid w:val="00332D8E"/>
    <w:rsid w:val="00341D6B"/>
    <w:rsid w:val="00356ABC"/>
    <w:rsid w:val="003C3264"/>
    <w:rsid w:val="003C5BB2"/>
    <w:rsid w:val="003D433E"/>
    <w:rsid w:val="00410AE1"/>
    <w:rsid w:val="0042622E"/>
    <w:rsid w:val="00427A8E"/>
    <w:rsid w:val="00435AD3"/>
    <w:rsid w:val="0045635B"/>
    <w:rsid w:val="00462402"/>
    <w:rsid w:val="004924D6"/>
    <w:rsid w:val="004A57BC"/>
    <w:rsid w:val="004B3780"/>
    <w:rsid w:val="004B385F"/>
    <w:rsid w:val="004C38AB"/>
    <w:rsid w:val="004C7A42"/>
    <w:rsid w:val="004F304E"/>
    <w:rsid w:val="004F4E5D"/>
    <w:rsid w:val="004F6934"/>
    <w:rsid w:val="00514C25"/>
    <w:rsid w:val="00524E40"/>
    <w:rsid w:val="00565AF6"/>
    <w:rsid w:val="00566A32"/>
    <w:rsid w:val="005A12D9"/>
    <w:rsid w:val="005C7A68"/>
    <w:rsid w:val="005E7CB6"/>
    <w:rsid w:val="00605C25"/>
    <w:rsid w:val="00622BBA"/>
    <w:rsid w:val="00645BF2"/>
    <w:rsid w:val="006637F2"/>
    <w:rsid w:val="006669CC"/>
    <w:rsid w:val="00673C8D"/>
    <w:rsid w:val="006D5688"/>
    <w:rsid w:val="00703920"/>
    <w:rsid w:val="00710CF5"/>
    <w:rsid w:val="00711A39"/>
    <w:rsid w:val="007224E2"/>
    <w:rsid w:val="00727F33"/>
    <w:rsid w:val="0075485A"/>
    <w:rsid w:val="00775918"/>
    <w:rsid w:val="007779C9"/>
    <w:rsid w:val="007A081D"/>
    <w:rsid w:val="007A3A0E"/>
    <w:rsid w:val="007C2CC2"/>
    <w:rsid w:val="007E2004"/>
    <w:rsid w:val="00800443"/>
    <w:rsid w:val="0082272F"/>
    <w:rsid w:val="008373FE"/>
    <w:rsid w:val="00837D28"/>
    <w:rsid w:val="00877F1F"/>
    <w:rsid w:val="008C49E0"/>
    <w:rsid w:val="008D4842"/>
    <w:rsid w:val="008E1BD5"/>
    <w:rsid w:val="00916949"/>
    <w:rsid w:val="009260F4"/>
    <w:rsid w:val="00970C07"/>
    <w:rsid w:val="009B07BE"/>
    <w:rsid w:val="009B6DB5"/>
    <w:rsid w:val="00A17E6F"/>
    <w:rsid w:val="00A3775B"/>
    <w:rsid w:val="00A41132"/>
    <w:rsid w:val="00A64A8B"/>
    <w:rsid w:val="00A72143"/>
    <w:rsid w:val="00AA27C8"/>
    <w:rsid w:val="00AA691C"/>
    <w:rsid w:val="00AA6DF6"/>
    <w:rsid w:val="00AC49D9"/>
    <w:rsid w:val="00AF223B"/>
    <w:rsid w:val="00AF3A23"/>
    <w:rsid w:val="00B03816"/>
    <w:rsid w:val="00B15AC4"/>
    <w:rsid w:val="00B238CC"/>
    <w:rsid w:val="00B4140F"/>
    <w:rsid w:val="00B51DEC"/>
    <w:rsid w:val="00B52EE2"/>
    <w:rsid w:val="00B536AC"/>
    <w:rsid w:val="00B6670E"/>
    <w:rsid w:val="00B67941"/>
    <w:rsid w:val="00B84173"/>
    <w:rsid w:val="00B86C4C"/>
    <w:rsid w:val="00B905FA"/>
    <w:rsid w:val="00BC4677"/>
    <w:rsid w:val="00BD4DC1"/>
    <w:rsid w:val="00C1431E"/>
    <w:rsid w:val="00C17705"/>
    <w:rsid w:val="00C36E66"/>
    <w:rsid w:val="00C502E9"/>
    <w:rsid w:val="00C65992"/>
    <w:rsid w:val="00C738CA"/>
    <w:rsid w:val="00C75CD8"/>
    <w:rsid w:val="00C94604"/>
    <w:rsid w:val="00CA19EF"/>
    <w:rsid w:val="00CA547C"/>
    <w:rsid w:val="00CA5EFD"/>
    <w:rsid w:val="00CC3B5D"/>
    <w:rsid w:val="00D26C65"/>
    <w:rsid w:val="00D63C28"/>
    <w:rsid w:val="00DB51EA"/>
    <w:rsid w:val="00DD1778"/>
    <w:rsid w:val="00DD77FF"/>
    <w:rsid w:val="00DE3A84"/>
    <w:rsid w:val="00DE7C34"/>
    <w:rsid w:val="00DF08F5"/>
    <w:rsid w:val="00DF1416"/>
    <w:rsid w:val="00DF1F43"/>
    <w:rsid w:val="00E10629"/>
    <w:rsid w:val="00E134AF"/>
    <w:rsid w:val="00E27C87"/>
    <w:rsid w:val="00E644B7"/>
    <w:rsid w:val="00E660FE"/>
    <w:rsid w:val="00E92C9D"/>
    <w:rsid w:val="00E946EB"/>
    <w:rsid w:val="00ED3914"/>
    <w:rsid w:val="00ED4F81"/>
    <w:rsid w:val="00EF63C9"/>
    <w:rsid w:val="00EF773B"/>
    <w:rsid w:val="00F06D11"/>
    <w:rsid w:val="00F23D27"/>
    <w:rsid w:val="00F5674A"/>
    <w:rsid w:val="00F64D18"/>
    <w:rsid w:val="00F7084B"/>
    <w:rsid w:val="00F75D80"/>
    <w:rsid w:val="00F82D2C"/>
    <w:rsid w:val="00F85B06"/>
    <w:rsid w:val="00FA1296"/>
    <w:rsid w:val="00FC0B0B"/>
    <w:rsid w:val="00FC508E"/>
    <w:rsid w:val="00FD6BAE"/>
    <w:rsid w:val="072AE7E3"/>
    <w:rsid w:val="078F23DF"/>
    <w:rsid w:val="175F6D09"/>
    <w:rsid w:val="1CA9CE55"/>
    <w:rsid w:val="1FFF0240"/>
    <w:rsid w:val="33EEC4C2"/>
    <w:rsid w:val="39986556"/>
    <w:rsid w:val="3E581DDF"/>
    <w:rsid w:val="456C1768"/>
    <w:rsid w:val="4ACC9223"/>
    <w:rsid w:val="4E2DEA82"/>
    <w:rsid w:val="63B3B4BE"/>
    <w:rsid w:val="6C00EDDD"/>
    <w:rsid w:val="77F1F034"/>
    <w:rsid w:val="7AD95411"/>
    <w:rsid w:val="7B2DBD91"/>
    <w:rsid w:val="7F5DDD7C"/>
    <w:rsid w:val="7FBF6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45F8"/>
  <w15:chartTrackingRefBased/>
  <w15:docId w15:val="{D1F31069-F80C-48E4-957B-F73337E3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54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54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548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548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548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5485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485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485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485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48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548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548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548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548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548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48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48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485A"/>
    <w:rPr>
      <w:rFonts w:eastAsiaTheme="majorEastAsia" w:cstheme="majorBidi"/>
      <w:color w:val="272727" w:themeColor="text1" w:themeTint="D8"/>
    </w:rPr>
  </w:style>
  <w:style w:type="paragraph" w:styleId="Nzev">
    <w:name w:val="Title"/>
    <w:basedOn w:val="Normln"/>
    <w:next w:val="Normln"/>
    <w:link w:val="NzevChar"/>
    <w:uiPriority w:val="10"/>
    <w:qFormat/>
    <w:rsid w:val="00754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48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485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48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485A"/>
    <w:pPr>
      <w:spacing w:before="160"/>
      <w:jc w:val="center"/>
    </w:pPr>
    <w:rPr>
      <w:i/>
      <w:iCs/>
      <w:color w:val="404040" w:themeColor="text1" w:themeTint="BF"/>
    </w:rPr>
  </w:style>
  <w:style w:type="character" w:customStyle="1" w:styleId="CittChar">
    <w:name w:val="Citát Char"/>
    <w:basedOn w:val="Standardnpsmoodstavce"/>
    <w:link w:val="Citt"/>
    <w:uiPriority w:val="29"/>
    <w:rsid w:val="0075485A"/>
    <w:rPr>
      <w:i/>
      <w:iCs/>
      <w:color w:val="404040" w:themeColor="text1" w:themeTint="BF"/>
    </w:rPr>
  </w:style>
  <w:style w:type="paragraph" w:styleId="Odstavecseseznamem">
    <w:name w:val="List Paragraph"/>
    <w:basedOn w:val="Normln"/>
    <w:uiPriority w:val="34"/>
    <w:qFormat/>
    <w:rsid w:val="0075485A"/>
    <w:pPr>
      <w:ind w:left="720"/>
      <w:contextualSpacing/>
    </w:pPr>
  </w:style>
  <w:style w:type="character" w:styleId="Zdraznnintenzivn">
    <w:name w:val="Intense Emphasis"/>
    <w:basedOn w:val="Standardnpsmoodstavce"/>
    <w:uiPriority w:val="21"/>
    <w:qFormat/>
    <w:rsid w:val="0075485A"/>
    <w:rPr>
      <w:i/>
      <w:iCs/>
      <w:color w:val="0F4761" w:themeColor="accent1" w:themeShade="BF"/>
    </w:rPr>
  </w:style>
  <w:style w:type="paragraph" w:styleId="Vrazncitt">
    <w:name w:val="Intense Quote"/>
    <w:basedOn w:val="Normln"/>
    <w:next w:val="Normln"/>
    <w:link w:val="VrazncittChar"/>
    <w:uiPriority w:val="30"/>
    <w:qFormat/>
    <w:rsid w:val="00754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5485A"/>
    <w:rPr>
      <w:i/>
      <w:iCs/>
      <w:color w:val="0F4761" w:themeColor="accent1" w:themeShade="BF"/>
    </w:rPr>
  </w:style>
  <w:style w:type="character" w:styleId="Odkazintenzivn">
    <w:name w:val="Intense Reference"/>
    <w:basedOn w:val="Standardnpsmoodstavce"/>
    <w:uiPriority w:val="32"/>
    <w:qFormat/>
    <w:rsid w:val="0075485A"/>
    <w:rPr>
      <w:b/>
      <w:bCs/>
      <w:smallCaps/>
      <w:color w:val="0F4761" w:themeColor="accent1" w:themeShade="BF"/>
      <w:spacing w:val="5"/>
    </w:rPr>
  </w:style>
  <w:style w:type="paragraph" w:styleId="Bezmezer">
    <w:name w:val="No Spacing"/>
    <w:uiPriority w:val="1"/>
    <w:qFormat/>
    <w:rsid w:val="0075485A"/>
    <w:pPr>
      <w:spacing w:after="0" w:line="240" w:lineRule="auto"/>
    </w:pPr>
  </w:style>
  <w:style w:type="character" w:customStyle="1" w:styleId="normaltextrun">
    <w:name w:val="normaltextrun"/>
    <w:basedOn w:val="Standardnpsmoodstavce"/>
    <w:rsid w:val="001F71BE"/>
  </w:style>
  <w:style w:type="character" w:customStyle="1" w:styleId="eop">
    <w:name w:val="eop"/>
    <w:basedOn w:val="Standardnpsmoodstavce"/>
    <w:rsid w:val="001F71BE"/>
  </w:style>
  <w:style w:type="paragraph" w:styleId="Revize">
    <w:name w:val="Revision"/>
    <w:hidden/>
    <w:uiPriority w:val="99"/>
    <w:semiHidden/>
    <w:rsid w:val="00E10629"/>
    <w:pPr>
      <w:spacing w:after="0" w:line="240" w:lineRule="auto"/>
    </w:pPr>
  </w:style>
  <w:style w:type="character" w:styleId="Odkaznakoment">
    <w:name w:val="annotation reference"/>
    <w:basedOn w:val="Standardnpsmoodstavce"/>
    <w:uiPriority w:val="99"/>
    <w:semiHidden/>
    <w:unhideWhenUsed/>
    <w:rsid w:val="00877F1F"/>
    <w:rPr>
      <w:sz w:val="16"/>
      <w:szCs w:val="16"/>
    </w:rPr>
  </w:style>
  <w:style w:type="paragraph" w:styleId="Textkomente">
    <w:name w:val="annotation text"/>
    <w:basedOn w:val="Normln"/>
    <w:link w:val="TextkomenteChar"/>
    <w:uiPriority w:val="99"/>
    <w:unhideWhenUsed/>
    <w:rsid w:val="00877F1F"/>
    <w:pPr>
      <w:spacing w:line="240" w:lineRule="auto"/>
    </w:pPr>
    <w:rPr>
      <w:sz w:val="20"/>
      <w:szCs w:val="20"/>
    </w:rPr>
  </w:style>
  <w:style w:type="character" w:customStyle="1" w:styleId="TextkomenteChar">
    <w:name w:val="Text komentáře Char"/>
    <w:basedOn w:val="Standardnpsmoodstavce"/>
    <w:link w:val="Textkomente"/>
    <w:uiPriority w:val="99"/>
    <w:rsid w:val="00877F1F"/>
    <w:rPr>
      <w:sz w:val="20"/>
      <w:szCs w:val="20"/>
    </w:rPr>
  </w:style>
  <w:style w:type="paragraph" w:styleId="Pedmtkomente">
    <w:name w:val="annotation subject"/>
    <w:basedOn w:val="Textkomente"/>
    <w:next w:val="Textkomente"/>
    <w:link w:val="PedmtkomenteChar"/>
    <w:uiPriority w:val="99"/>
    <w:semiHidden/>
    <w:unhideWhenUsed/>
    <w:rsid w:val="00877F1F"/>
    <w:rPr>
      <w:b/>
      <w:bCs/>
    </w:rPr>
  </w:style>
  <w:style w:type="character" w:customStyle="1" w:styleId="PedmtkomenteChar">
    <w:name w:val="Předmět komentáře Char"/>
    <w:basedOn w:val="TextkomenteChar"/>
    <w:link w:val="Pedmtkomente"/>
    <w:uiPriority w:val="99"/>
    <w:semiHidden/>
    <w:rsid w:val="00877F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89DDD1E4D749C4BD197467392BF836"/>
        <w:category>
          <w:name w:val="Obecné"/>
          <w:gallery w:val="placeholder"/>
        </w:category>
        <w:types>
          <w:type w:val="bbPlcHdr"/>
        </w:types>
        <w:behaviors>
          <w:behavior w:val="content"/>
        </w:behaviors>
        <w:guid w:val="{EE1496EF-6881-4BE9-8A9D-9A5AA711023A}"/>
      </w:docPartPr>
      <w:docPartBody>
        <w:p w:rsidR="00DE3A84" w:rsidRDefault="00DE3A84" w:rsidP="00DE3A84">
          <w:pPr>
            <w:pStyle w:val="F089DDD1E4D749C4BD197467392BF836"/>
          </w:pPr>
          <w:r>
            <w:rPr>
              <w:rFonts w:asciiTheme="majorHAnsi" w:hAnsiTheme="majorHAnsi" w:cstheme="majorHAnsi"/>
              <w:highlight w:val="yellow"/>
            </w:rPr>
            <w:t>místo</w:t>
          </w:r>
        </w:p>
      </w:docPartBody>
    </w:docPart>
    <w:docPart>
      <w:docPartPr>
        <w:name w:val="C16A8E33B40D45BD94A5C00929D47B6D"/>
        <w:category>
          <w:name w:val="Obecné"/>
          <w:gallery w:val="placeholder"/>
        </w:category>
        <w:types>
          <w:type w:val="bbPlcHdr"/>
        </w:types>
        <w:behaviors>
          <w:behavior w:val="content"/>
        </w:behaviors>
        <w:guid w:val="{31FCFA6C-4210-462C-8F7F-E504786BF568}"/>
      </w:docPartPr>
      <w:docPartBody>
        <w:p w:rsidR="00DE3A84" w:rsidRDefault="00DE3A84" w:rsidP="00DE3A84">
          <w:pPr>
            <w:pStyle w:val="C16A8E33B40D45BD94A5C00929D47B6D"/>
          </w:pPr>
          <w:r>
            <w:rPr>
              <w:rFonts w:asciiTheme="majorHAnsi" w:hAnsiTheme="majorHAnsi" w:cstheme="majorHAnsi"/>
              <w:highlight w:val="yellow"/>
            </w:rPr>
            <w:t>datum</w:t>
          </w:r>
        </w:p>
      </w:docPartBody>
    </w:docPart>
    <w:docPart>
      <w:docPartPr>
        <w:name w:val="62D59280CE2049C680BC6C2287877E5B"/>
        <w:category>
          <w:name w:val="Obecné"/>
          <w:gallery w:val="placeholder"/>
        </w:category>
        <w:types>
          <w:type w:val="bbPlcHdr"/>
        </w:types>
        <w:behaviors>
          <w:behavior w:val="content"/>
        </w:behaviors>
        <w:guid w:val="{3DAC1602-9612-4094-9770-3AD27F5E001D}"/>
      </w:docPartPr>
      <w:docPartBody>
        <w:p w:rsidR="00DE3A84" w:rsidRDefault="00DE3A84" w:rsidP="00DE3A84">
          <w:pPr>
            <w:pStyle w:val="62D59280CE2049C680BC6C2287877E5B"/>
          </w:pPr>
          <w:r>
            <w:rPr>
              <w:highlight w:val="yellow"/>
            </w:rPr>
            <w:t>Jméno, funkce, podpis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4"/>
    <w:rsid w:val="000B15AB"/>
    <w:rsid w:val="00237F98"/>
    <w:rsid w:val="00334FEB"/>
    <w:rsid w:val="00566A32"/>
    <w:rsid w:val="008373FE"/>
    <w:rsid w:val="008848AE"/>
    <w:rsid w:val="009B6DB5"/>
    <w:rsid w:val="00B238CC"/>
    <w:rsid w:val="00B52EE2"/>
    <w:rsid w:val="00DE3A84"/>
    <w:rsid w:val="00ED3914"/>
    <w:rsid w:val="00F00E60"/>
    <w:rsid w:val="00F64D18"/>
    <w:rsid w:val="00F85B0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089DDD1E4D749C4BD197467392BF836">
    <w:name w:val="F089DDD1E4D749C4BD197467392BF836"/>
    <w:rsid w:val="00DE3A84"/>
  </w:style>
  <w:style w:type="paragraph" w:customStyle="1" w:styleId="C16A8E33B40D45BD94A5C00929D47B6D">
    <w:name w:val="C16A8E33B40D45BD94A5C00929D47B6D"/>
    <w:rsid w:val="00DE3A84"/>
  </w:style>
  <w:style w:type="paragraph" w:customStyle="1" w:styleId="62D59280CE2049C680BC6C2287877E5B">
    <w:name w:val="62D59280CE2049C680BC6C2287877E5B"/>
    <w:rsid w:val="00DE3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da8a3-1f26-43da-84ed-04e35ea4cf19" xsi:nil="true"/>
    <lcf76f155ced4ddcb4097134ff3c332f xmlns="7a383597-584f-428d-9e67-dbbd7519f7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C06D664FF94C488584B46D6E725AC9" ma:contentTypeVersion="13" ma:contentTypeDescription="Vytvoří nový dokument" ma:contentTypeScope="" ma:versionID="6efd4db5793e4ab04c596ae223d83be7">
  <xsd:schema xmlns:xsd="http://www.w3.org/2001/XMLSchema" xmlns:xs="http://www.w3.org/2001/XMLSchema" xmlns:p="http://schemas.microsoft.com/office/2006/metadata/properties" xmlns:ns2="7a383597-584f-428d-9e67-dbbd7519f73b" xmlns:ns3="7a1da8a3-1f26-43da-84ed-04e35ea4cf19" targetNamespace="http://schemas.microsoft.com/office/2006/metadata/properties" ma:root="true" ma:fieldsID="2e8620408e6c00f9a1da6daa69ea39bb" ns2:_="" ns3:_="">
    <xsd:import namespace="7a383597-584f-428d-9e67-dbbd7519f73b"/>
    <xsd:import namespace="7a1da8a3-1f26-43da-84ed-04e35ea4cf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3597-584f-428d-9e67-dbbd7519f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3b89feb-9e08-47b6-b962-6bac49d1f434"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da8a3-1f26-43da-84ed-04e35ea4cf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347e8a-be04-4987-b9bf-5566a7f5a857}" ma:internalName="TaxCatchAll" ma:showField="CatchAllData" ma:web="7a1da8a3-1f26-43da-84ed-04e35ea4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0617D-E445-4220-B8BD-9E93AE447F52}">
  <ds:schemaRefs>
    <ds:schemaRef ds:uri="http://schemas.microsoft.com/office/2006/metadata/properties"/>
    <ds:schemaRef ds:uri="http://schemas.microsoft.com/office/infopath/2007/PartnerControls"/>
    <ds:schemaRef ds:uri="7a1da8a3-1f26-43da-84ed-04e35ea4cf19"/>
    <ds:schemaRef ds:uri="7a383597-584f-428d-9e67-dbbd7519f73b"/>
  </ds:schemaRefs>
</ds:datastoreItem>
</file>

<file path=customXml/itemProps2.xml><?xml version="1.0" encoding="utf-8"?>
<ds:datastoreItem xmlns:ds="http://schemas.openxmlformats.org/officeDocument/2006/customXml" ds:itemID="{6522F272-B653-4AEE-BF6D-B60B0947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3597-584f-428d-9e67-dbbd7519f73b"/>
    <ds:schemaRef ds:uri="7a1da8a3-1f26-43da-84ed-04e35ea4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54EB6-1214-4EAE-99D0-411BC8D2A56A}">
  <ds:schemaRefs>
    <ds:schemaRef ds:uri="http://schemas.openxmlformats.org/officeDocument/2006/bibliography"/>
  </ds:schemaRefs>
</ds:datastoreItem>
</file>

<file path=customXml/itemProps4.xml><?xml version="1.0" encoding="utf-8"?>
<ds:datastoreItem xmlns:ds="http://schemas.openxmlformats.org/officeDocument/2006/customXml" ds:itemID="{09D0D400-C360-4538-A819-2806D30ED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2549</Words>
  <Characters>15044</Characters>
  <Application>Microsoft Office Word</Application>
  <DocSecurity>0</DocSecurity>
  <Lines>125</Lines>
  <Paragraphs>35</Paragraphs>
  <ScaleCrop>false</ScaleCrop>
  <Company>Aerosol  service a.s.</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Školník - AEROSOL SERVICE a.s.</dc:creator>
  <cp:keywords/>
  <dc:description/>
  <cp:lastModifiedBy>Ivona Peštálová</cp:lastModifiedBy>
  <cp:revision>128</cp:revision>
  <dcterms:created xsi:type="dcterms:W3CDTF">2025-10-02T08:42:00Z</dcterms:created>
  <dcterms:modified xsi:type="dcterms:W3CDTF">2025-12-18T11:14:00Z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0x01010061C06D664FF94C488584B46D6E725AC9</vt:lpwstr>
  </property>
  <property fmtid="{D5CDD505-2E9C-101B-9397-08002B2CF9AE}" pid="3" name="MediaServiceImageTags">
    <vt:lpwstr/>
  </property>
</Properties>
</file>