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66AC" w14:textId="199DDE19" w:rsidR="00533E03" w:rsidRPr="00923BEE" w:rsidRDefault="00533E03" w:rsidP="00533E03">
      <w:pPr>
        <w:rPr>
          <w:rFonts w:asciiTheme="minorHAnsi" w:hAnsiTheme="minorHAnsi"/>
        </w:rPr>
      </w:pPr>
      <w:r w:rsidRPr="005C54A9">
        <w:rPr>
          <w:rFonts w:asciiTheme="minorHAnsi" w:hAnsiTheme="minorHAnsi"/>
        </w:rPr>
        <w:t xml:space="preserve">Příloha č. </w:t>
      </w:r>
      <w:r w:rsidR="00BA2F21">
        <w:rPr>
          <w:rFonts w:asciiTheme="minorHAnsi" w:hAnsiTheme="minorHAnsi"/>
        </w:rPr>
        <w:t>I</w:t>
      </w:r>
      <w:r w:rsidR="0034117A" w:rsidRPr="005C54A9">
        <w:rPr>
          <w:rFonts w:asciiTheme="minorHAnsi" w:hAnsiTheme="minorHAnsi"/>
        </w:rPr>
        <w:t>V.</w:t>
      </w:r>
      <w:r w:rsidRPr="005C54A9">
        <w:rPr>
          <w:rFonts w:asciiTheme="minorHAnsi" w:hAnsiTheme="minorHAnsi"/>
        </w:rPr>
        <w:t xml:space="preserve"> </w:t>
      </w:r>
      <w:r w:rsidR="008E4A27" w:rsidRPr="005C54A9">
        <w:rPr>
          <w:rFonts w:asciiTheme="minorHAnsi" w:hAnsiTheme="minorHAnsi"/>
        </w:rPr>
        <w:t>Smlouvy</w:t>
      </w:r>
      <w:r w:rsidR="00072976">
        <w:rPr>
          <w:rFonts w:asciiTheme="minorHAnsi" w:hAnsiTheme="minorHAnsi"/>
        </w:rPr>
        <w:t xml:space="preserve"> </w:t>
      </w:r>
    </w:p>
    <w:p w14:paraId="040E5AE3" w14:textId="6A6D8E06" w:rsidR="003727EC" w:rsidRDefault="00B77EE0" w:rsidP="00B77EE0">
      <w:pPr>
        <w:pStyle w:val="Nzev"/>
        <w:pBdr>
          <w:bottom w:val="none" w:sz="0" w:space="0" w:color="auto"/>
        </w:pBdr>
        <w:autoSpaceDE w:val="0"/>
        <w:autoSpaceDN w:val="0"/>
        <w:spacing w:before="480" w:after="120"/>
        <w:contextualSpacing w:val="0"/>
        <w:jc w:val="center"/>
        <w:rPr>
          <w:rFonts w:asciiTheme="minorHAnsi" w:eastAsia="Times New Roman" w:hAnsiTheme="minorHAnsi" w:cstheme="minorHAnsi"/>
          <w:b/>
          <w:bCs/>
          <w:color w:val="auto"/>
          <w:spacing w:val="0"/>
          <w:sz w:val="56"/>
          <w:szCs w:val="56"/>
          <w:lang w:eastAsia="cs-CZ"/>
        </w:rPr>
      </w:pPr>
      <w:r w:rsidRPr="00B77EE0">
        <w:rPr>
          <w:rFonts w:asciiTheme="minorHAnsi" w:eastAsia="Times New Roman" w:hAnsiTheme="minorHAnsi" w:cstheme="minorHAnsi"/>
          <w:b/>
          <w:bCs/>
          <w:color w:val="auto"/>
          <w:spacing w:val="0"/>
          <w:sz w:val="56"/>
          <w:szCs w:val="56"/>
          <w:lang w:eastAsia="cs-CZ"/>
        </w:rPr>
        <w:t>Technická specifikace</w:t>
      </w:r>
    </w:p>
    <w:p w14:paraId="0468AC92" w14:textId="77777777" w:rsidR="00B77EE0" w:rsidRDefault="00B77EE0" w:rsidP="00B77EE0">
      <w:pPr>
        <w:rPr>
          <w:lang w:eastAsia="cs-CZ"/>
        </w:rPr>
      </w:pPr>
    </w:p>
    <w:p w14:paraId="671FD138" w14:textId="0DAC1B48" w:rsidR="00400D23" w:rsidRPr="008D512B" w:rsidRDefault="00B77EE0" w:rsidP="008D512B">
      <w:pPr>
        <w:rPr>
          <w:lang w:eastAsia="cs-CZ"/>
        </w:rPr>
      </w:pPr>
      <w:r w:rsidRPr="00E078E1">
        <w:rPr>
          <w:lang w:eastAsia="cs-CZ"/>
        </w:rPr>
        <w:t>Dílo poskytnuté Zhotovitelem musí splňovat níže uvedené požadavky:</w:t>
      </w:r>
      <w:r>
        <w:rPr>
          <w:lang w:eastAsia="cs-CZ"/>
        </w:rPr>
        <w:t xml:space="preserve"> </w:t>
      </w:r>
      <w:r w:rsidR="00D000EA" w:rsidRPr="008D512B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</w:p>
    <w:p w14:paraId="6B4C05E8" w14:textId="77777777" w:rsidR="00CE57A1" w:rsidRPr="00CE57A1" w:rsidRDefault="00CE57A1" w:rsidP="00CE57A1">
      <w:pPr>
        <w:spacing w:after="0"/>
        <w:rPr>
          <w:rFonts w:ascii="Calibri" w:eastAsia="Calibri" w:hAnsi="Calibri" w:cs="Calibri"/>
          <w:sz w:val="24"/>
          <w:szCs w:val="24"/>
          <w:lang w:eastAsia="cs-CZ"/>
        </w:rPr>
      </w:pPr>
    </w:p>
    <w:p w14:paraId="5E8B83A6" w14:textId="77777777" w:rsidR="00CE57A1" w:rsidRPr="00CE57A1" w:rsidRDefault="00CE57A1" w:rsidP="00CE57A1">
      <w:pPr>
        <w:numPr>
          <w:ilvl w:val="0"/>
          <w:numId w:val="8"/>
        </w:numPr>
        <w:contextualSpacing/>
        <w:rPr>
          <w:rFonts w:ascii="Calibri" w:eastAsia="Calibri" w:hAnsi="Calibri" w:cs="Calibri"/>
          <w:sz w:val="24"/>
          <w:szCs w:val="24"/>
          <w:lang w:eastAsia="cs-CZ"/>
        </w:rPr>
      </w:pPr>
      <w:bookmarkStart w:id="0" w:name="_Hlk148039855"/>
      <w:r w:rsidRPr="00CE57A1">
        <w:rPr>
          <w:rFonts w:ascii="Calibri" w:eastAsia="Calibri" w:hAnsi="Calibri" w:cs="Calibri"/>
          <w:sz w:val="24"/>
          <w:szCs w:val="24"/>
          <w:lang w:eastAsia="cs-CZ"/>
        </w:rPr>
        <w:t xml:space="preserve">Dílo musí obsahovat </w:t>
      </w:r>
      <w:bookmarkEnd w:id="0"/>
      <w:r w:rsidRPr="00CE57A1">
        <w:rPr>
          <w:rFonts w:ascii="Calibri" w:eastAsia="Calibri" w:hAnsi="Calibri" w:cs="Calibri"/>
          <w:sz w:val="24"/>
          <w:szCs w:val="24"/>
          <w:lang w:eastAsia="cs-CZ"/>
        </w:rPr>
        <w:t>systém detekce závad:</w:t>
      </w:r>
    </w:p>
    <w:p w14:paraId="29466693" w14:textId="77777777" w:rsidR="00CE57A1" w:rsidRPr="00CE57A1" w:rsidRDefault="00CE57A1" w:rsidP="00CE57A1">
      <w:pPr>
        <w:numPr>
          <w:ilvl w:val="1"/>
          <w:numId w:val="8"/>
        </w:numPr>
        <w:contextualSpacing/>
        <w:rPr>
          <w:rFonts w:ascii="Calibri" w:eastAsia="Calibri" w:hAnsi="Calibri" w:cs="Calibri"/>
          <w:sz w:val="24"/>
          <w:szCs w:val="24"/>
          <w:lang w:eastAsia="cs-CZ"/>
        </w:rPr>
      </w:pPr>
      <w:r w:rsidRPr="00CE57A1">
        <w:rPr>
          <w:rFonts w:ascii="Calibri" w:eastAsia="Calibri" w:hAnsi="Calibri" w:cs="Calibri"/>
          <w:sz w:val="24"/>
          <w:szCs w:val="24"/>
          <w:lang w:eastAsia="cs-CZ"/>
        </w:rPr>
        <w:t>monitoring fotovoltaické elektrárny;</w:t>
      </w:r>
    </w:p>
    <w:p w14:paraId="0CD9E521" w14:textId="77777777" w:rsidR="00CE57A1" w:rsidRPr="00CE57A1" w:rsidRDefault="00CE57A1" w:rsidP="00CE57A1">
      <w:pPr>
        <w:numPr>
          <w:ilvl w:val="1"/>
          <w:numId w:val="8"/>
        </w:numPr>
        <w:contextualSpacing/>
        <w:rPr>
          <w:rFonts w:ascii="Calibri" w:eastAsia="Calibri" w:hAnsi="Calibri" w:cs="Calibri"/>
          <w:sz w:val="24"/>
          <w:szCs w:val="24"/>
          <w:lang w:eastAsia="cs-CZ"/>
        </w:rPr>
      </w:pPr>
      <w:r w:rsidRPr="00CE57A1">
        <w:rPr>
          <w:rFonts w:ascii="Calibri" w:eastAsia="Calibri" w:hAnsi="Calibri" w:cs="Calibri"/>
          <w:sz w:val="24"/>
          <w:szCs w:val="24"/>
          <w:lang w:eastAsia="cs-CZ"/>
        </w:rPr>
        <w:t>sledování napětí příp. výkon jednotlivých stringů.</w:t>
      </w:r>
    </w:p>
    <w:p w14:paraId="1E37E0A8" w14:textId="77777777" w:rsidR="00CE57A1" w:rsidRPr="00CE57A1" w:rsidRDefault="00CE57A1" w:rsidP="00CE57A1">
      <w:pPr>
        <w:ind w:left="1440"/>
        <w:contextualSpacing/>
        <w:rPr>
          <w:rFonts w:ascii="Calibri" w:eastAsia="Calibri" w:hAnsi="Calibri" w:cs="Calibri"/>
          <w:sz w:val="24"/>
          <w:szCs w:val="24"/>
          <w:lang w:eastAsia="cs-CZ"/>
        </w:rPr>
      </w:pPr>
    </w:p>
    <w:p w14:paraId="60B25350" w14:textId="575C5B56" w:rsidR="00CE57A1" w:rsidRPr="00CE57A1" w:rsidRDefault="00CE57A1" w:rsidP="00CE57A1">
      <w:pPr>
        <w:numPr>
          <w:ilvl w:val="0"/>
          <w:numId w:val="8"/>
        </w:numPr>
        <w:contextualSpacing/>
        <w:rPr>
          <w:rFonts w:ascii="Calibri" w:eastAsia="Calibri" w:hAnsi="Calibri" w:cs="Calibri"/>
          <w:sz w:val="24"/>
          <w:szCs w:val="24"/>
          <w:lang w:eastAsia="cs-CZ"/>
        </w:rPr>
      </w:pPr>
      <w:r w:rsidRPr="00CE57A1">
        <w:rPr>
          <w:rFonts w:ascii="Calibri" w:eastAsia="Calibri" w:hAnsi="Calibri" w:cs="Calibri"/>
          <w:sz w:val="24"/>
          <w:szCs w:val="24"/>
          <w:lang w:eastAsia="cs-CZ"/>
        </w:rPr>
        <w:t>Dílo musí obsahovat systém chytrého řízení</w:t>
      </w:r>
      <w:r w:rsidR="00F700CA">
        <w:rPr>
          <w:rFonts w:ascii="Calibri" w:eastAsia="Calibri" w:hAnsi="Calibri" w:cs="Calibri"/>
          <w:sz w:val="24"/>
          <w:szCs w:val="24"/>
          <w:lang w:eastAsia="cs-CZ"/>
        </w:rPr>
        <w:t>. S</w:t>
      </w:r>
      <w:r w:rsidR="00F700CA" w:rsidRPr="00CE57A1">
        <w:rPr>
          <w:rFonts w:ascii="Calibri" w:eastAsia="Calibri" w:hAnsi="Calibri" w:cs="Calibri"/>
          <w:sz w:val="24"/>
          <w:szCs w:val="24"/>
          <w:lang w:eastAsia="cs-CZ"/>
        </w:rPr>
        <w:t>ystém musí</w:t>
      </w:r>
      <w:r w:rsidR="00F700CA">
        <w:rPr>
          <w:rFonts w:ascii="Calibri" w:eastAsia="Calibri" w:hAnsi="Calibri" w:cs="Calibri"/>
          <w:sz w:val="24"/>
          <w:szCs w:val="24"/>
          <w:lang w:eastAsia="cs-CZ"/>
        </w:rPr>
        <w:t>:</w:t>
      </w:r>
    </w:p>
    <w:p w14:paraId="34330C70" w14:textId="7FDC4145" w:rsidR="00CE57A1" w:rsidRPr="00CE57A1" w:rsidRDefault="00CE57A1" w:rsidP="00CE57A1">
      <w:pPr>
        <w:numPr>
          <w:ilvl w:val="1"/>
          <w:numId w:val="8"/>
        </w:numPr>
        <w:contextualSpacing/>
        <w:rPr>
          <w:rFonts w:ascii="Calibri" w:eastAsia="Calibri" w:hAnsi="Calibri" w:cs="Calibri"/>
          <w:sz w:val="24"/>
          <w:szCs w:val="24"/>
          <w:lang w:eastAsia="cs-CZ"/>
        </w:rPr>
      </w:pPr>
      <w:r w:rsidRPr="00CE57A1">
        <w:rPr>
          <w:rFonts w:ascii="Calibri" w:eastAsia="Calibri" w:hAnsi="Calibri" w:cs="Calibri"/>
          <w:sz w:val="24"/>
          <w:szCs w:val="24"/>
          <w:lang w:eastAsia="cs-CZ"/>
        </w:rPr>
        <w:t>monitorovat aktuální ceny spotového trhu;</w:t>
      </w:r>
    </w:p>
    <w:p w14:paraId="2570FF81" w14:textId="39D46772" w:rsidR="00CE57A1" w:rsidRPr="00CE57A1" w:rsidRDefault="00CE57A1" w:rsidP="00CE57A1">
      <w:pPr>
        <w:numPr>
          <w:ilvl w:val="1"/>
          <w:numId w:val="8"/>
        </w:numPr>
        <w:contextualSpacing/>
        <w:rPr>
          <w:rFonts w:ascii="Calibri" w:eastAsia="Calibri" w:hAnsi="Calibri" w:cs="Calibri"/>
          <w:sz w:val="24"/>
          <w:szCs w:val="24"/>
          <w:lang w:eastAsia="cs-CZ"/>
        </w:rPr>
      </w:pPr>
      <w:r w:rsidRPr="00CE57A1">
        <w:rPr>
          <w:rFonts w:ascii="Calibri" w:eastAsia="Calibri" w:hAnsi="Calibri" w:cs="Calibri"/>
          <w:sz w:val="24"/>
          <w:szCs w:val="24"/>
          <w:lang w:eastAsia="cs-CZ"/>
        </w:rPr>
        <w:t>sledov</w:t>
      </w:r>
      <w:r w:rsidR="00F700CA">
        <w:rPr>
          <w:rFonts w:ascii="Calibri" w:eastAsia="Calibri" w:hAnsi="Calibri" w:cs="Calibri"/>
          <w:sz w:val="24"/>
          <w:szCs w:val="24"/>
          <w:lang w:eastAsia="cs-CZ"/>
        </w:rPr>
        <w:t>at</w:t>
      </w:r>
      <w:r w:rsidRPr="00CE57A1">
        <w:rPr>
          <w:rFonts w:ascii="Calibri" w:eastAsia="Calibri" w:hAnsi="Calibri" w:cs="Calibri"/>
          <w:sz w:val="24"/>
          <w:szCs w:val="24"/>
          <w:lang w:eastAsia="cs-CZ"/>
        </w:rPr>
        <w:t xml:space="preserve"> spotřeby nemovitosti;</w:t>
      </w:r>
    </w:p>
    <w:p w14:paraId="7B06B108" w14:textId="5D73B71B" w:rsidR="00CE57A1" w:rsidRPr="00CE57A1" w:rsidRDefault="00CE57A1" w:rsidP="00CE57A1">
      <w:pPr>
        <w:numPr>
          <w:ilvl w:val="1"/>
          <w:numId w:val="8"/>
        </w:numPr>
        <w:contextualSpacing/>
        <w:rPr>
          <w:rFonts w:ascii="Calibri" w:eastAsia="Calibri" w:hAnsi="Calibri" w:cs="Calibri"/>
          <w:sz w:val="24"/>
          <w:szCs w:val="24"/>
          <w:lang w:eastAsia="cs-CZ"/>
        </w:rPr>
      </w:pPr>
      <w:r w:rsidRPr="00CE57A1">
        <w:rPr>
          <w:rFonts w:ascii="Calibri" w:eastAsia="Calibri" w:hAnsi="Calibri" w:cs="Calibri"/>
          <w:sz w:val="24"/>
          <w:szCs w:val="24"/>
          <w:lang w:eastAsia="cs-CZ"/>
        </w:rPr>
        <w:t>monitor</w:t>
      </w:r>
      <w:r w:rsidR="00F700CA">
        <w:rPr>
          <w:rFonts w:ascii="Calibri" w:eastAsia="Calibri" w:hAnsi="Calibri" w:cs="Calibri"/>
          <w:sz w:val="24"/>
          <w:szCs w:val="24"/>
          <w:lang w:eastAsia="cs-CZ"/>
        </w:rPr>
        <w:t>ovat</w:t>
      </w:r>
      <w:r w:rsidRPr="00CE57A1">
        <w:rPr>
          <w:rFonts w:ascii="Calibri" w:eastAsia="Calibri" w:hAnsi="Calibri" w:cs="Calibri"/>
          <w:sz w:val="24"/>
          <w:szCs w:val="24"/>
          <w:lang w:eastAsia="cs-CZ"/>
        </w:rPr>
        <w:t xml:space="preserve"> spotřeby nemovitosti a sledov</w:t>
      </w:r>
      <w:r w:rsidR="00F700CA">
        <w:rPr>
          <w:rFonts w:ascii="Calibri" w:eastAsia="Calibri" w:hAnsi="Calibri" w:cs="Calibri"/>
          <w:sz w:val="24"/>
          <w:szCs w:val="24"/>
          <w:lang w:eastAsia="cs-CZ"/>
        </w:rPr>
        <w:t>at</w:t>
      </w:r>
      <w:r w:rsidRPr="00CE57A1">
        <w:rPr>
          <w:rFonts w:ascii="Calibri" w:eastAsia="Calibri" w:hAnsi="Calibri" w:cs="Calibri"/>
          <w:sz w:val="24"/>
          <w:szCs w:val="24"/>
          <w:lang w:eastAsia="cs-CZ"/>
        </w:rPr>
        <w:t xml:space="preserve"> výskyt pravidelných energetických odběrů</w:t>
      </w:r>
      <w:r w:rsidR="00F700CA">
        <w:rPr>
          <w:rFonts w:ascii="Calibri" w:eastAsia="Calibri" w:hAnsi="Calibri" w:cs="Calibri"/>
          <w:sz w:val="24"/>
          <w:szCs w:val="24"/>
          <w:lang w:eastAsia="cs-CZ"/>
        </w:rPr>
        <w:t>;</w:t>
      </w:r>
    </w:p>
    <w:p w14:paraId="4AC27073" w14:textId="7270CAAF" w:rsidR="00CE57A1" w:rsidRPr="00CE57A1" w:rsidRDefault="00F700CA" w:rsidP="00CE57A1">
      <w:pPr>
        <w:numPr>
          <w:ilvl w:val="1"/>
          <w:numId w:val="8"/>
        </w:numPr>
        <w:contextualSpacing/>
        <w:rPr>
          <w:rFonts w:ascii="Calibri" w:eastAsia="Calibri" w:hAnsi="Calibri" w:cs="Calibri"/>
          <w:sz w:val="24"/>
          <w:szCs w:val="24"/>
          <w:lang w:eastAsia="cs-CZ"/>
        </w:rPr>
      </w:pPr>
      <w:r>
        <w:rPr>
          <w:rFonts w:ascii="Calibri" w:eastAsia="Calibri" w:hAnsi="Calibri" w:cs="Calibri"/>
          <w:sz w:val="24"/>
          <w:szCs w:val="24"/>
          <w:lang w:eastAsia="cs-CZ"/>
        </w:rPr>
        <w:t>umožnit</w:t>
      </w:r>
      <w:r w:rsidR="00CE57A1" w:rsidRPr="00CE57A1">
        <w:rPr>
          <w:rFonts w:ascii="Calibri" w:eastAsia="Calibri" w:hAnsi="Calibri" w:cs="Calibri"/>
          <w:sz w:val="24"/>
          <w:szCs w:val="24"/>
          <w:lang w:eastAsia="cs-CZ"/>
        </w:rPr>
        <w:t xml:space="preserve"> spínání a odpínání elektrických zařízení v závislosti na aktuálních cenách spotového trhu</w:t>
      </w:r>
      <w:r>
        <w:rPr>
          <w:rFonts w:ascii="Calibri" w:eastAsia="Calibri" w:hAnsi="Calibri" w:cs="Calibri"/>
          <w:sz w:val="24"/>
          <w:szCs w:val="24"/>
          <w:lang w:eastAsia="cs-CZ"/>
        </w:rPr>
        <w:t>;</w:t>
      </w:r>
    </w:p>
    <w:p w14:paraId="2060BF06" w14:textId="680E7351" w:rsidR="00CE57A1" w:rsidRPr="00CE57A1" w:rsidRDefault="00F700CA" w:rsidP="00CE57A1">
      <w:pPr>
        <w:numPr>
          <w:ilvl w:val="1"/>
          <w:numId w:val="8"/>
        </w:numPr>
        <w:contextualSpacing/>
        <w:rPr>
          <w:rFonts w:ascii="Calibri" w:eastAsia="Calibri" w:hAnsi="Calibri" w:cs="Calibri"/>
          <w:sz w:val="24"/>
          <w:szCs w:val="24"/>
          <w:lang w:eastAsia="cs-CZ"/>
        </w:rPr>
      </w:pPr>
      <w:r>
        <w:rPr>
          <w:rFonts w:ascii="Calibri" w:eastAsia="Calibri" w:hAnsi="Calibri" w:cs="Calibri"/>
          <w:sz w:val="24"/>
          <w:szCs w:val="24"/>
          <w:lang w:eastAsia="cs-CZ"/>
        </w:rPr>
        <w:t>umožnit</w:t>
      </w:r>
      <w:r w:rsidR="00CE57A1" w:rsidRPr="00CE57A1">
        <w:rPr>
          <w:rFonts w:ascii="Calibri" w:eastAsia="Calibri" w:hAnsi="Calibri" w:cs="Calibri"/>
          <w:sz w:val="24"/>
          <w:szCs w:val="24"/>
          <w:lang w:eastAsia="cs-CZ"/>
        </w:rPr>
        <w:t xml:space="preserve"> spínání spotřebičů v případě nadbytečného množství vyrobené energie</w:t>
      </w:r>
      <w:r>
        <w:rPr>
          <w:rFonts w:ascii="Calibri" w:eastAsia="Calibri" w:hAnsi="Calibri" w:cs="Calibri"/>
          <w:sz w:val="24"/>
          <w:szCs w:val="24"/>
          <w:lang w:eastAsia="cs-CZ"/>
        </w:rPr>
        <w:t>;</w:t>
      </w:r>
    </w:p>
    <w:p w14:paraId="3A8D1B74" w14:textId="01E4B9C4" w:rsidR="00CE57A1" w:rsidRPr="00CE57A1" w:rsidRDefault="00F700CA" w:rsidP="00CE57A1">
      <w:pPr>
        <w:numPr>
          <w:ilvl w:val="1"/>
          <w:numId w:val="8"/>
        </w:numPr>
        <w:contextualSpacing/>
        <w:rPr>
          <w:rFonts w:ascii="Calibri" w:eastAsia="Calibri" w:hAnsi="Calibri" w:cs="Calibri"/>
          <w:sz w:val="24"/>
          <w:szCs w:val="24"/>
          <w:lang w:eastAsia="cs-CZ"/>
        </w:rPr>
      </w:pPr>
      <w:r>
        <w:rPr>
          <w:rFonts w:ascii="Calibri" w:eastAsia="Calibri" w:hAnsi="Calibri" w:cs="Calibri"/>
          <w:sz w:val="24"/>
          <w:szCs w:val="24"/>
          <w:lang w:eastAsia="cs-CZ"/>
        </w:rPr>
        <w:t>umožnit</w:t>
      </w:r>
      <w:r w:rsidR="00CE57A1" w:rsidRPr="00CE57A1">
        <w:rPr>
          <w:rFonts w:ascii="Calibri" w:eastAsia="Calibri" w:hAnsi="Calibri" w:cs="Calibri"/>
          <w:sz w:val="24"/>
          <w:szCs w:val="24"/>
          <w:lang w:eastAsia="cs-CZ"/>
        </w:rPr>
        <w:t xml:space="preserve"> budoucí úpravy, rozšíření a customizace dle požadavků zákazníka</w:t>
      </w:r>
      <w:r>
        <w:rPr>
          <w:rFonts w:ascii="Calibri" w:eastAsia="Calibri" w:hAnsi="Calibri" w:cs="Calibri"/>
          <w:sz w:val="24"/>
          <w:szCs w:val="24"/>
          <w:lang w:eastAsia="cs-CZ"/>
        </w:rPr>
        <w:t>.</w:t>
      </w:r>
    </w:p>
    <w:p w14:paraId="5262F58D" w14:textId="77777777" w:rsidR="00CE57A1" w:rsidRPr="00CE57A1" w:rsidRDefault="00CE57A1" w:rsidP="00CE57A1">
      <w:pPr>
        <w:ind w:left="1440"/>
        <w:contextualSpacing/>
        <w:jc w:val="both"/>
        <w:rPr>
          <w:rFonts w:ascii="Calibri" w:eastAsia="Calibri" w:hAnsi="Calibri" w:cs="Calibri"/>
          <w:sz w:val="24"/>
          <w:szCs w:val="24"/>
          <w:lang w:eastAsia="cs-CZ"/>
        </w:rPr>
      </w:pPr>
    </w:p>
    <w:p w14:paraId="3972F5D8" w14:textId="77777777" w:rsidR="00CE57A1" w:rsidRDefault="00CE57A1" w:rsidP="00CE57A1">
      <w:pPr>
        <w:numPr>
          <w:ilvl w:val="0"/>
          <w:numId w:val="8"/>
        </w:numPr>
        <w:contextualSpacing/>
        <w:rPr>
          <w:rFonts w:ascii="Calibri" w:eastAsia="Calibri" w:hAnsi="Calibri" w:cs="Calibri"/>
          <w:sz w:val="24"/>
          <w:szCs w:val="24"/>
          <w:lang w:eastAsia="cs-CZ"/>
        </w:rPr>
      </w:pPr>
      <w:r w:rsidRPr="00CE57A1">
        <w:rPr>
          <w:rFonts w:ascii="Calibri" w:eastAsia="Calibri" w:hAnsi="Calibri" w:cs="Calibri"/>
          <w:sz w:val="24"/>
          <w:szCs w:val="24"/>
          <w:lang w:eastAsia="cs-CZ"/>
        </w:rPr>
        <w:t xml:space="preserve">Střídač hybridní asymetrický s minimálně 100% asymetrií, kompatibilní s baterií. </w:t>
      </w:r>
    </w:p>
    <w:p w14:paraId="53797827" w14:textId="77777777" w:rsidR="00CE57A1" w:rsidRPr="00CE57A1" w:rsidRDefault="00CE57A1" w:rsidP="00CE57A1">
      <w:pPr>
        <w:ind w:left="720"/>
        <w:contextualSpacing/>
        <w:rPr>
          <w:rFonts w:ascii="Calibri" w:eastAsia="Calibri" w:hAnsi="Calibri" w:cs="Calibri"/>
          <w:sz w:val="24"/>
          <w:szCs w:val="24"/>
          <w:lang w:eastAsia="cs-CZ"/>
        </w:rPr>
      </w:pPr>
    </w:p>
    <w:p w14:paraId="5430B2CF" w14:textId="0A4E2E39" w:rsidR="00A00E71" w:rsidRPr="00A00E71" w:rsidRDefault="00CE57A1" w:rsidP="00CE57A1">
      <w:pPr>
        <w:numPr>
          <w:ilvl w:val="0"/>
          <w:numId w:val="8"/>
        </w:numPr>
        <w:contextualSpacing/>
        <w:rPr>
          <w:rFonts w:asciiTheme="minorHAnsi" w:hAnsiTheme="minorHAnsi" w:cstheme="minorHAnsi"/>
          <w:sz w:val="24"/>
          <w:szCs w:val="24"/>
          <w:lang w:eastAsia="cs-CZ"/>
        </w:rPr>
      </w:pPr>
      <w:r w:rsidRPr="00CE57A1">
        <w:rPr>
          <w:rFonts w:ascii="Calibri" w:eastAsia="Calibri" w:hAnsi="Calibri" w:cs="Calibri"/>
          <w:sz w:val="24"/>
          <w:szCs w:val="24"/>
          <w:lang w:eastAsia="cs-CZ"/>
        </w:rPr>
        <w:t>Fotovoltaika musí být vybavena systémem optimizérů.</w:t>
      </w:r>
    </w:p>
    <w:p w14:paraId="258AF5E5" w14:textId="77777777" w:rsidR="00CE57A1" w:rsidRDefault="00CE57A1" w:rsidP="00CE57A1">
      <w:pPr>
        <w:ind w:left="720"/>
        <w:contextualSpacing/>
        <w:rPr>
          <w:rFonts w:asciiTheme="minorHAnsi" w:hAnsiTheme="minorHAnsi" w:cstheme="minorHAnsi"/>
          <w:sz w:val="24"/>
          <w:szCs w:val="24"/>
          <w:lang w:eastAsia="cs-CZ"/>
        </w:rPr>
      </w:pPr>
    </w:p>
    <w:p w14:paraId="3E4DAFF6" w14:textId="42E6A66A" w:rsidR="006D03D7" w:rsidRPr="008D512B" w:rsidRDefault="006D03D7" w:rsidP="00CE57A1">
      <w:pPr>
        <w:contextualSpacing/>
        <w:rPr>
          <w:rFonts w:asciiTheme="minorHAnsi" w:hAnsiTheme="minorHAnsi" w:cstheme="minorHAnsi"/>
          <w:sz w:val="24"/>
          <w:szCs w:val="24"/>
          <w:lang w:eastAsia="cs-CZ"/>
        </w:rPr>
      </w:pPr>
      <w:r w:rsidRPr="008D512B">
        <w:rPr>
          <w:rFonts w:asciiTheme="minorHAnsi" w:hAnsiTheme="minorHAnsi" w:cstheme="minorHAnsi"/>
          <w:sz w:val="24"/>
          <w:szCs w:val="24"/>
          <w:lang w:eastAsia="cs-CZ"/>
        </w:rPr>
        <w:t>Specifické požadavky poskytovatele dotace (Zhotovitel je povinen je dodržet, jsou-li v daném případě relevantní):</w:t>
      </w:r>
    </w:p>
    <w:p w14:paraId="456453DF" w14:textId="77777777" w:rsidR="006D03D7" w:rsidRPr="005752C1" w:rsidRDefault="006D03D7" w:rsidP="006D03D7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  <w:lang w:eastAsia="cs-CZ"/>
        </w:rPr>
        <w:t>Dílo musí být realizováno</w:t>
      </w:r>
      <w:r w:rsidRPr="005752C1">
        <w:rPr>
          <w:rFonts w:asciiTheme="minorHAnsi" w:hAnsiTheme="minorHAnsi" w:cstheme="minorHAnsi"/>
          <w:sz w:val="24"/>
          <w:szCs w:val="24"/>
          <w:lang w:eastAsia="cs-CZ"/>
        </w:rPr>
        <w:t xml:space="preserve"> dle podmínek stanovených: </w:t>
      </w:r>
    </w:p>
    <w:p w14:paraId="34F2743E" w14:textId="77777777" w:rsidR="006D03D7" w:rsidRPr="00CF1D50" w:rsidRDefault="006D03D7" w:rsidP="006D03D7">
      <w:pPr>
        <w:pStyle w:val="Odstavecseseznamem"/>
        <w:numPr>
          <w:ilvl w:val="0"/>
          <w:numId w:val="4"/>
        </w:numPr>
        <w:ind w:left="1985"/>
        <w:rPr>
          <w:rFonts w:asciiTheme="minorHAnsi" w:hAnsiTheme="minorHAnsi" w:cstheme="minorHAnsi"/>
          <w:sz w:val="24"/>
          <w:szCs w:val="24"/>
          <w:lang w:eastAsia="cs-CZ"/>
        </w:rPr>
      </w:pPr>
      <w:r w:rsidRPr="00CF1D50">
        <w:rPr>
          <w:rFonts w:asciiTheme="minorHAnsi" w:hAnsiTheme="minorHAnsi" w:cstheme="minorHAnsi"/>
          <w:sz w:val="24"/>
          <w:szCs w:val="24"/>
          <w:lang w:eastAsia="cs-CZ"/>
        </w:rPr>
        <w:t xml:space="preserve">ve smlouvě o připojení k přenosové nebo distribuční soustavě, </w:t>
      </w:r>
    </w:p>
    <w:p w14:paraId="54624D62" w14:textId="77777777" w:rsidR="006D03D7" w:rsidRPr="00CF1D50" w:rsidRDefault="006D03D7" w:rsidP="006D03D7">
      <w:pPr>
        <w:pStyle w:val="Odstavecseseznamem"/>
        <w:numPr>
          <w:ilvl w:val="0"/>
          <w:numId w:val="4"/>
        </w:numPr>
        <w:ind w:left="1985"/>
        <w:rPr>
          <w:rFonts w:asciiTheme="minorHAnsi" w:hAnsiTheme="minorHAnsi" w:cstheme="minorHAnsi"/>
          <w:sz w:val="24"/>
          <w:szCs w:val="24"/>
          <w:lang w:eastAsia="cs-CZ"/>
        </w:rPr>
      </w:pPr>
      <w:r w:rsidRPr="00CF1D50">
        <w:rPr>
          <w:rFonts w:asciiTheme="minorHAnsi" w:hAnsiTheme="minorHAnsi" w:cstheme="minorHAnsi"/>
          <w:sz w:val="24"/>
          <w:szCs w:val="24"/>
          <w:lang w:eastAsia="cs-CZ"/>
        </w:rPr>
        <w:t xml:space="preserve">v Nařízení komise (EU) 2016/631 ze dne 14. dubna 2016, kterým se stanoví kodex sítě pro požadavky na připojení výroben k elektrizační soustavě, </w:t>
      </w:r>
    </w:p>
    <w:p w14:paraId="5A3F80CA" w14:textId="77777777" w:rsidR="006D03D7" w:rsidRPr="00CF1D50" w:rsidRDefault="006D03D7" w:rsidP="006D03D7">
      <w:pPr>
        <w:pStyle w:val="Odstavecseseznamem"/>
        <w:numPr>
          <w:ilvl w:val="0"/>
          <w:numId w:val="4"/>
        </w:numPr>
        <w:ind w:left="1985"/>
        <w:rPr>
          <w:rFonts w:asciiTheme="minorHAnsi" w:hAnsiTheme="minorHAnsi" w:cstheme="minorHAnsi"/>
          <w:sz w:val="24"/>
          <w:szCs w:val="24"/>
          <w:lang w:eastAsia="cs-CZ"/>
        </w:rPr>
      </w:pPr>
      <w:r w:rsidRPr="00CF1D50">
        <w:rPr>
          <w:rFonts w:asciiTheme="minorHAnsi" w:hAnsiTheme="minorHAnsi" w:cstheme="minorHAnsi"/>
          <w:sz w:val="24"/>
          <w:szCs w:val="24"/>
          <w:lang w:eastAsia="cs-CZ"/>
        </w:rPr>
        <w:t xml:space="preserve">v Pravidlech provozování přenosové nebo distribuční soustavy (dále jen „PPDS“). </w:t>
      </w:r>
    </w:p>
    <w:p w14:paraId="21FD2C80" w14:textId="14FC23A0" w:rsidR="005D1EA1" w:rsidRPr="00B44B2C" w:rsidRDefault="006D03D7" w:rsidP="00EE2327">
      <w:pPr>
        <w:pStyle w:val="Odstavecseseznamem"/>
        <w:numPr>
          <w:ilvl w:val="0"/>
          <w:numId w:val="5"/>
        </w:numPr>
        <w:spacing w:after="176"/>
        <w:rPr>
          <w:rFonts w:asciiTheme="minorHAnsi" w:hAnsiTheme="minorHAnsi" w:cstheme="minorHAnsi"/>
          <w:sz w:val="24"/>
          <w:szCs w:val="24"/>
          <w:lang w:eastAsia="cs-CZ"/>
        </w:rPr>
      </w:pPr>
      <w:r w:rsidRPr="00B44B2C">
        <w:rPr>
          <w:rFonts w:asciiTheme="minorHAnsi" w:hAnsiTheme="minorHAnsi" w:cstheme="minorHAnsi"/>
          <w:sz w:val="24"/>
          <w:szCs w:val="24"/>
          <w:lang w:eastAsia="cs-CZ"/>
        </w:rPr>
        <w:lastRenderedPageBreak/>
        <w:t>V investičně dotčených objektech</w:t>
      </w:r>
      <w:r w:rsidRPr="00B44B2C">
        <w:rPr>
          <w:vertAlign w:val="superscript"/>
        </w:rPr>
        <w:footnoteReference w:id="1"/>
      </w:r>
      <w:r w:rsidRPr="00B44B2C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="00B44B2C" w:rsidRPr="00B44B2C">
        <w:rPr>
          <w:rFonts w:asciiTheme="minorHAnsi" w:hAnsiTheme="minorHAnsi" w:cstheme="minorHAnsi"/>
          <w:sz w:val="24"/>
          <w:szCs w:val="24"/>
          <w:lang w:eastAsia="cs-CZ"/>
        </w:rPr>
        <w:t>žadatele</w:t>
      </w:r>
      <w:r w:rsidRPr="00B44B2C">
        <w:rPr>
          <w:rFonts w:asciiTheme="minorHAnsi" w:hAnsiTheme="minorHAnsi" w:cstheme="minorHAnsi"/>
          <w:sz w:val="24"/>
          <w:szCs w:val="24"/>
          <w:lang w:eastAsia="cs-CZ"/>
        </w:rPr>
        <w:t xml:space="preserve"> musí být spotřebováno alespoň 80 % vyrobené elektřiny z nově instalovaných FVE za celý projekt v roční bilanci</w:t>
      </w:r>
      <w:r w:rsidR="00B44B2C" w:rsidRPr="00B44B2C">
        <w:rPr>
          <w:rFonts w:asciiTheme="minorHAnsi" w:hAnsiTheme="minorHAnsi" w:cstheme="minorHAnsi"/>
          <w:sz w:val="24"/>
          <w:szCs w:val="24"/>
          <w:lang w:eastAsia="cs-CZ"/>
        </w:rPr>
        <w:t>, stanoveno jako podíl celkové teoretické hodnoty výroby z instalovaných systémů vůči celkové teoretické roční bilanční spotřebě v dotčených objektech</w:t>
      </w:r>
      <w:r w:rsidRPr="00B44B2C">
        <w:rPr>
          <w:rFonts w:asciiTheme="minorHAnsi" w:hAnsiTheme="minorHAnsi" w:cstheme="minorHAnsi"/>
          <w:sz w:val="24"/>
          <w:szCs w:val="24"/>
          <w:lang w:eastAsia="cs-CZ"/>
        </w:rPr>
        <w:t>.</w:t>
      </w:r>
    </w:p>
    <w:p w14:paraId="41EA5301" w14:textId="303124E7" w:rsidR="005D1EA1" w:rsidRPr="005D1EA1" w:rsidRDefault="005D1EA1" w:rsidP="00736BA7">
      <w:pPr>
        <w:pStyle w:val="Odstavecseseznamem"/>
        <w:numPr>
          <w:ilvl w:val="0"/>
          <w:numId w:val="5"/>
        </w:numPr>
        <w:spacing w:after="176"/>
        <w:rPr>
          <w:rFonts w:asciiTheme="minorHAnsi" w:hAnsiTheme="minorHAnsi" w:cstheme="minorHAnsi"/>
          <w:sz w:val="24"/>
          <w:szCs w:val="24"/>
          <w:lang w:eastAsia="cs-CZ"/>
        </w:rPr>
      </w:pPr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Kapacita akumulace nesmí v jednom předávacím místě do DS/PS přesáhnout výkon FVE vyvedený do tohoto předávacího místa dle </w:t>
      </w:r>
      <w:r w:rsidRPr="00B779F7">
        <w:rPr>
          <w:rFonts w:asciiTheme="minorHAnsi" w:hAnsiTheme="minorHAnsi" w:cstheme="minorHAnsi"/>
          <w:sz w:val="24"/>
          <w:szCs w:val="24"/>
          <w:lang w:eastAsia="cs-CZ"/>
        </w:rPr>
        <w:t>specifikace v bodu i</w:t>
      </w:r>
      <w:r w:rsidR="00B779F7" w:rsidRPr="00B779F7">
        <w:rPr>
          <w:rFonts w:asciiTheme="minorHAnsi" w:hAnsiTheme="minorHAnsi" w:cstheme="minorHAnsi"/>
          <w:sz w:val="24"/>
          <w:szCs w:val="24"/>
          <w:lang w:eastAsia="cs-CZ"/>
        </w:rPr>
        <w:t>.</w:t>
      </w:r>
      <w:r w:rsidRPr="00B779F7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="00B779F7" w:rsidRPr="00B779F7">
        <w:rPr>
          <w:rFonts w:asciiTheme="minorHAnsi" w:hAnsiTheme="minorHAnsi" w:cstheme="minorHAnsi"/>
          <w:sz w:val="24"/>
          <w:szCs w:val="24"/>
          <w:lang w:eastAsia="cs-CZ"/>
        </w:rPr>
        <w:t>níže</w:t>
      </w:r>
      <w:r w:rsidRPr="00B779F7">
        <w:rPr>
          <w:rFonts w:asciiTheme="minorHAnsi" w:hAnsiTheme="minorHAnsi" w:cstheme="minorHAnsi"/>
          <w:sz w:val="24"/>
          <w:szCs w:val="24"/>
          <w:lang w:eastAsia="cs-CZ"/>
        </w:rPr>
        <w:t>.</w:t>
      </w:r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</w:p>
    <w:p w14:paraId="758A2140" w14:textId="45E3741D" w:rsidR="005D1EA1" w:rsidRDefault="005D1EA1" w:rsidP="00736BA7">
      <w:pPr>
        <w:pStyle w:val="Odstavecseseznamem"/>
        <w:numPr>
          <w:ilvl w:val="0"/>
          <w:numId w:val="5"/>
        </w:numPr>
        <w:spacing w:after="176"/>
        <w:rPr>
          <w:rFonts w:asciiTheme="minorHAnsi" w:hAnsiTheme="minorHAnsi" w:cstheme="minorHAnsi"/>
          <w:sz w:val="24"/>
          <w:szCs w:val="24"/>
          <w:lang w:eastAsia="cs-CZ"/>
        </w:rPr>
      </w:pPr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Podpora na akumulaci elektrické energie do baterií může být poskytnuta pouze v případě, že akumulace je součástí investice do nového OZE a slouží výhradně pro jeho potřeby. </w:t>
      </w:r>
    </w:p>
    <w:p w14:paraId="02A5FF11" w14:textId="77777777" w:rsidR="0047312C" w:rsidRPr="005752C1" w:rsidRDefault="0047312C" w:rsidP="0047312C">
      <w:pPr>
        <w:pStyle w:val="Odstavecseseznamem"/>
        <w:numPr>
          <w:ilvl w:val="0"/>
          <w:numId w:val="5"/>
        </w:numPr>
        <w:ind w:left="1418" w:hanging="425"/>
        <w:rPr>
          <w:rFonts w:asciiTheme="minorHAnsi" w:hAnsiTheme="minorHAnsi" w:cstheme="minorHAnsi"/>
          <w:sz w:val="24"/>
          <w:szCs w:val="24"/>
          <w:lang w:eastAsia="cs-CZ"/>
        </w:rPr>
      </w:pPr>
      <w:r w:rsidRPr="005752C1">
        <w:rPr>
          <w:rFonts w:asciiTheme="minorHAnsi" w:hAnsiTheme="minorHAnsi" w:cstheme="minorHAnsi"/>
          <w:sz w:val="24"/>
          <w:szCs w:val="24"/>
          <w:lang w:eastAsia="cs-CZ"/>
        </w:rPr>
        <w:t xml:space="preserve">Podporovány mohou být pouze výrobny, ve kterých </w:t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budou instalovány výhradně fotovoltaické moduly, měniče a akumulátory s nezávisle ověřenými parametry prokázanými certifikáty vydanými akreditovanými certifikačními orgány</w:t>
      </w:r>
      <w:r w:rsidRPr="00F9227F">
        <w:rPr>
          <w:rStyle w:val="Znakapoznpodarou"/>
          <w:rFonts w:asciiTheme="minorHAnsi" w:hAnsiTheme="minorHAnsi" w:cstheme="minorHAnsi"/>
          <w:b/>
          <w:bCs/>
          <w:sz w:val="24"/>
          <w:szCs w:val="24"/>
          <w:lang w:eastAsia="cs-CZ"/>
        </w:rPr>
        <w:footnoteReference w:id="2"/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na základě níže uvedených souborů norem</w:t>
      </w:r>
      <w:r w:rsidRPr="005752C1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4045"/>
      </w:tblGrid>
      <w:tr w:rsidR="0047312C" w:rsidRPr="005752C1" w14:paraId="5DE42C35" w14:textId="77777777" w:rsidTr="00D61897">
        <w:trPr>
          <w:trHeight w:val="93"/>
        </w:trPr>
        <w:tc>
          <w:tcPr>
            <w:tcW w:w="4045" w:type="dxa"/>
          </w:tcPr>
          <w:p w14:paraId="3536CF52" w14:textId="77777777" w:rsidR="0047312C" w:rsidRPr="005752C1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Technologie </w:t>
            </w:r>
          </w:p>
        </w:tc>
        <w:tc>
          <w:tcPr>
            <w:tcW w:w="4045" w:type="dxa"/>
          </w:tcPr>
          <w:p w14:paraId="12BC53B6" w14:textId="77777777" w:rsidR="0047312C" w:rsidRPr="005752C1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Soubory norem (je-li relevantní) </w:t>
            </w:r>
          </w:p>
        </w:tc>
      </w:tr>
      <w:tr w:rsidR="0047312C" w:rsidRPr="005752C1" w14:paraId="61952DFF" w14:textId="77777777" w:rsidTr="00D61897">
        <w:trPr>
          <w:trHeight w:val="93"/>
        </w:trPr>
        <w:tc>
          <w:tcPr>
            <w:tcW w:w="4045" w:type="dxa"/>
          </w:tcPr>
          <w:p w14:paraId="1580C4D9" w14:textId="77777777" w:rsidR="0047312C" w:rsidRPr="005752C1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Fotovoltaické moduly </w:t>
            </w:r>
          </w:p>
        </w:tc>
        <w:tc>
          <w:tcPr>
            <w:tcW w:w="4045" w:type="dxa"/>
          </w:tcPr>
          <w:p w14:paraId="080C7946" w14:textId="77777777" w:rsidR="0047312C" w:rsidRPr="005752C1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IEC 61215, IEC 61730 </w:t>
            </w:r>
          </w:p>
        </w:tc>
      </w:tr>
      <w:tr w:rsidR="0047312C" w:rsidRPr="005752C1" w14:paraId="461E0F08" w14:textId="77777777" w:rsidTr="00D61897">
        <w:trPr>
          <w:trHeight w:val="93"/>
        </w:trPr>
        <w:tc>
          <w:tcPr>
            <w:tcW w:w="4045" w:type="dxa"/>
          </w:tcPr>
          <w:p w14:paraId="331278FD" w14:textId="77777777" w:rsidR="0047312C" w:rsidRPr="005752C1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Měniče </w:t>
            </w:r>
          </w:p>
        </w:tc>
        <w:tc>
          <w:tcPr>
            <w:tcW w:w="4045" w:type="dxa"/>
          </w:tcPr>
          <w:p w14:paraId="66B84438" w14:textId="3E78C588" w:rsidR="0047312C" w:rsidRPr="005752C1" w:rsidRDefault="00F57444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IEC 61727 nebo IEC 62116 nebo EN 50549-1/EN50549-2</w:t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7312C" w:rsidRPr="005752C1" w14:paraId="60794C95" w14:textId="77777777" w:rsidTr="00D61897">
        <w:trPr>
          <w:trHeight w:val="359"/>
        </w:trPr>
        <w:tc>
          <w:tcPr>
            <w:tcW w:w="4045" w:type="dxa"/>
          </w:tcPr>
          <w:p w14:paraId="0A3374F6" w14:textId="77777777" w:rsidR="0047312C" w:rsidRPr="005752C1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Elektrické akumulátory </w:t>
            </w:r>
          </w:p>
        </w:tc>
        <w:tc>
          <w:tcPr>
            <w:tcW w:w="4045" w:type="dxa"/>
          </w:tcPr>
          <w:p w14:paraId="731AA6AE" w14:textId="77777777" w:rsidR="0047312C" w:rsidRPr="005752C1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dle typu akumulátoru (</w:t>
            </w:r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>pro nejčastější lithiové akumulátory IEC 63056:2020 nebo IEC 62619:2017 nebo IEC 62620:2014</w:t>
            </w: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) </w:t>
            </w:r>
          </w:p>
        </w:tc>
      </w:tr>
    </w:tbl>
    <w:p w14:paraId="287BD535" w14:textId="77777777" w:rsidR="0047312C" w:rsidRPr="000962A3" w:rsidRDefault="0047312C" w:rsidP="0047312C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0962A3">
        <w:rPr>
          <w:rFonts w:asciiTheme="minorHAnsi" w:hAnsiTheme="minorHAnsi" w:cstheme="minorHAnsi"/>
          <w:sz w:val="24"/>
          <w:szCs w:val="24"/>
          <w:lang w:eastAsia="cs-CZ"/>
        </w:rPr>
        <w:t xml:space="preserve">Instalované </w:t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fotovoltaické moduly a měniče musí dosahovat minimálně níže uvedených účinností</w:t>
      </w:r>
      <w:r w:rsidRPr="000962A3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</w:p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4050"/>
      </w:tblGrid>
      <w:tr w:rsidR="0047312C" w:rsidRPr="000962A3" w14:paraId="5C80EBDC" w14:textId="77777777" w:rsidTr="00D61897">
        <w:trPr>
          <w:trHeight w:val="93"/>
        </w:trPr>
        <w:tc>
          <w:tcPr>
            <w:tcW w:w="4050" w:type="dxa"/>
          </w:tcPr>
          <w:p w14:paraId="31AF2D5E" w14:textId="77777777" w:rsidR="0047312C" w:rsidRPr="000962A3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Technologie </w:t>
            </w:r>
          </w:p>
        </w:tc>
        <w:tc>
          <w:tcPr>
            <w:tcW w:w="4050" w:type="dxa"/>
          </w:tcPr>
          <w:p w14:paraId="286C4432" w14:textId="77777777" w:rsidR="0047312C" w:rsidRPr="000962A3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Minimální účinnost </w:t>
            </w:r>
          </w:p>
        </w:tc>
      </w:tr>
      <w:tr w:rsidR="0047312C" w:rsidRPr="000962A3" w14:paraId="2375B07B" w14:textId="77777777" w:rsidTr="00D61897">
        <w:trPr>
          <w:trHeight w:val="866"/>
        </w:trPr>
        <w:tc>
          <w:tcPr>
            <w:tcW w:w="4050" w:type="dxa"/>
          </w:tcPr>
          <w:p w14:paraId="58E52B84" w14:textId="77777777" w:rsidR="0047312C" w:rsidRPr="000962A3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Fotovoltaické moduly při standardních testovacích podmínkách</w:t>
            </w:r>
            <w:r>
              <w:rPr>
                <w:rStyle w:val="Znakapoznpodarou"/>
                <w:rFonts w:asciiTheme="minorHAnsi" w:hAnsiTheme="minorHAnsi" w:cstheme="minorHAnsi"/>
                <w:sz w:val="24"/>
                <w:szCs w:val="24"/>
                <w:lang w:eastAsia="cs-CZ"/>
              </w:rPr>
              <w:footnoteReference w:id="3"/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(STC) </w:t>
            </w:r>
          </w:p>
        </w:tc>
        <w:tc>
          <w:tcPr>
            <w:tcW w:w="4050" w:type="dxa"/>
          </w:tcPr>
          <w:p w14:paraId="6AC34390" w14:textId="61A1B265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</w:t>
            </w:r>
            <w:r w:rsid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20</w:t>
            </w: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,0 % pro monofaciální moduly z monokrystalického křemíku, </w:t>
            </w:r>
          </w:p>
          <w:p w14:paraId="6003D8A2" w14:textId="75D575C0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lastRenderedPageBreak/>
              <w:t>- 1</w:t>
            </w:r>
            <w:r w:rsid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9</w:t>
            </w: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,0 % pro monofaciální moduly z multikrystalického křemíku, </w:t>
            </w:r>
          </w:p>
          <w:p w14:paraId="0E9A9938" w14:textId="51648E91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</w:t>
            </w:r>
            <w:r w:rsid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20</w:t>
            </w: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,0 % pro bifaciální moduly při 0% bifaciálním zisku, </w:t>
            </w:r>
          </w:p>
          <w:p w14:paraId="5BF4AF11" w14:textId="77777777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- 12,0 % pro tenkovrstvé moduly, </w:t>
            </w:r>
          </w:p>
          <w:p w14:paraId="54ED0215" w14:textId="19BE3F46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nestanoveno pro speciální výrobky a použití. </w:t>
            </w:r>
          </w:p>
        </w:tc>
      </w:tr>
      <w:tr w:rsidR="0047312C" w:rsidRPr="000962A3" w14:paraId="728202AF" w14:textId="77777777" w:rsidTr="00D61897">
        <w:trPr>
          <w:trHeight w:val="866"/>
        </w:trPr>
        <w:tc>
          <w:tcPr>
            <w:tcW w:w="4050" w:type="dxa"/>
          </w:tcPr>
          <w:p w14:paraId="750011C8" w14:textId="77777777" w:rsidR="0047312C" w:rsidRPr="000962A3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64D1F">
              <w:lastRenderedPageBreak/>
              <w:t>Měniče</w:t>
            </w:r>
          </w:p>
        </w:tc>
        <w:tc>
          <w:tcPr>
            <w:tcW w:w="4050" w:type="dxa"/>
          </w:tcPr>
          <w:p w14:paraId="1EB72137" w14:textId="77777777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26AE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97,0 % (Euro účinnost)</w:t>
            </w:r>
          </w:p>
        </w:tc>
      </w:tr>
    </w:tbl>
    <w:p w14:paraId="00ADED43" w14:textId="77777777" w:rsidR="0047312C" w:rsidRPr="008A18DD" w:rsidRDefault="0047312C" w:rsidP="0047312C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8A18DD">
        <w:rPr>
          <w:rFonts w:asciiTheme="minorHAnsi" w:hAnsiTheme="minorHAnsi" w:cstheme="minorHAnsi"/>
          <w:sz w:val="24"/>
          <w:szCs w:val="24"/>
          <w:lang w:eastAsia="cs-CZ"/>
        </w:rPr>
        <w:t xml:space="preserve">Při realizaci </w:t>
      </w:r>
      <w:r w:rsidRPr="008A18DD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mohou být použity výhradně komponenty s garantovanou životností</w:t>
      </w:r>
      <w:r w:rsidRPr="008A18DD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</w:p>
    <w:tbl>
      <w:tblPr>
        <w:tblW w:w="0" w:type="auto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969"/>
      </w:tblGrid>
      <w:tr w:rsidR="0047312C" w:rsidRPr="008A18DD" w14:paraId="621C4059" w14:textId="77777777" w:rsidTr="00D61897">
        <w:trPr>
          <w:trHeight w:val="93"/>
        </w:trPr>
        <w:tc>
          <w:tcPr>
            <w:tcW w:w="4111" w:type="dxa"/>
          </w:tcPr>
          <w:p w14:paraId="2B73D638" w14:textId="77777777" w:rsidR="0047312C" w:rsidRPr="008A18DD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Technologie </w:t>
            </w:r>
          </w:p>
        </w:tc>
        <w:tc>
          <w:tcPr>
            <w:tcW w:w="3969" w:type="dxa"/>
          </w:tcPr>
          <w:p w14:paraId="15EDE2A3" w14:textId="77777777" w:rsidR="0047312C" w:rsidRPr="008A18DD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Požadované zajištění životnosti </w:t>
            </w:r>
          </w:p>
        </w:tc>
      </w:tr>
      <w:tr w:rsidR="0047312C" w:rsidRPr="008A18DD" w14:paraId="18E9BFB1" w14:textId="77777777" w:rsidTr="00D61897">
        <w:trPr>
          <w:trHeight w:val="419"/>
        </w:trPr>
        <w:tc>
          <w:tcPr>
            <w:tcW w:w="4111" w:type="dxa"/>
          </w:tcPr>
          <w:p w14:paraId="70DD7035" w14:textId="77777777" w:rsidR="0047312C" w:rsidRPr="008A18DD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Fotovoltaické moduly </w:t>
            </w:r>
          </w:p>
        </w:tc>
        <w:tc>
          <w:tcPr>
            <w:tcW w:w="3969" w:type="dxa"/>
          </w:tcPr>
          <w:p w14:paraId="7A26898D" w14:textId="304C09B1" w:rsidR="0047312C" w:rsidRPr="008A18DD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min. 2</w:t>
            </w:r>
            <w:r w:rsid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5</w:t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letá lineární záruka na výkon s max. poklesem na 80 % původního výkonu garantovanou výrobcem </w:t>
            </w:r>
          </w:p>
          <w:p w14:paraId="3377E06F" w14:textId="77D44193" w:rsidR="0047312C" w:rsidRPr="008A18DD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min. 1</w:t>
            </w:r>
            <w:r w:rsid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2</w:t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letá produktová záruka garantovaná výrobcem </w:t>
            </w:r>
          </w:p>
        </w:tc>
      </w:tr>
      <w:tr w:rsidR="0047312C" w:rsidRPr="008A18DD" w14:paraId="10164B5F" w14:textId="77777777" w:rsidTr="00D61897">
        <w:trPr>
          <w:trHeight w:val="360"/>
        </w:trPr>
        <w:tc>
          <w:tcPr>
            <w:tcW w:w="4111" w:type="dxa"/>
          </w:tcPr>
          <w:p w14:paraId="5A6BBA12" w14:textId="77777777" w:rsidR="0047312C" w:rsidRPr="008A18DD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Měniče </w:t>
            </w:r>
          </w:p>
        </w:tc>
        <w:tc>
          <w:tcPr>
            <w:tcW w:w="3969" w:type="dxa"/>
          </w:tcPr>
          <w:p w14:paraId="71CE3D65" w14:textId="77777777" w:rsidR="0047312C" w:rsidRPr="008A18DD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záruka výrobce či dodavatele trvající min. 10 let na jeho bezodkladnou výměnu či adekvátní náhradu v případě poruchy či poškození </w:t>
            </w:r>
          </w:p>
        </w:tc>
      </w:tr>
      <w:tr w:rsidR="0047312C" w:rsidRPr="008A18DD" w14:paraId="44906DA7" w14:textId="77777777" w:rsidTr="00D61897">
        <w:trPr>
          <w:trHeight w:val="358"/>
        </w:trPr>
        <w:tc>
          <w:tcPr>
            <w:tcW w:w="4111" w:type="dxa"/>
          </w:tcPr>
          <w:p w14:paraId="425642C5" w14:textId="77777777" w:rsidR="0047312C" w:rsidRPr="008A18DD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Elektrické akumulátory </w:t>
            </w:r>
          </w:p>
        </w:tc>
        <w:tc>
          <w:tcPr>
            <w:tcW w:w="3969" w:type="dxa"/>
          </w:tcPr>
          <w:p w14:paraId="024C4F72" w14:textId="77777777" w:rsidR="0047312C" w:rsidRPr="008A18DD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záruka s max. poklesem na 60</w:t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 </w:t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% nominální kapacity po 10 letech provozu, nebo dosažení min. 2</w:t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 </w:t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400násobku nominální energie (Energy Throughput)</w:t>
            </w:r>
            <w:r>
              <w:rPr>
                <w:rStyle w:val="Znakapoznpodarou"/>
                <w:rFonts w:asciiTheme="minorHAnsi" w:hAnsiTheme="minorHAnsi" w:cstheme="minorHAnsi"/>
                <w:sz w:val="24"/>
                <w:szCs w:val="24"/>
                <w:lang w:eastAsia="cs-CZ"/>
              </w:rPr>
              <w:footnoteReference w:id="4"/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73CB8412" w14:textId="77777777" w:rsidR="0047312C" w:rsidRPr="007964D0" w:rsidRDefault="0047312C" w:rsidP="0047312C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Instalované </w:t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měniče musí být vybaveny plynulou, nebo diskrétní řiditelností dodávaného výkonu do elektrizační soustavy umožňující změnu dodávaného výkonu výrobny</w:t>
      </w: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. </w:t>
      </w:r>
    </w:p>
    <w:p w14:paraId="6196A6AA" w14:textId="77777777" w:rsidR="0047312C" w:rsidRPr="007964D0" w:rsidRDefault="0047312C" w:rsidP="0047312C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7964D0">
        <w:rPr>
          <w:rFonts w:asciiTheme="minorHAnsi" w:hAnsiTheme="minorHAnsi" w:cstheme="minorHAnsi"/>
          <w:sz w:val="24"/>
          <w:szCs w:val="24"/>
          <w:lang w:eastAsia="cs-CZ"/>
        </w:rPr>
        <w:lastRenderedPageBreak/>
        <w:t>Podpora na vybudování systému bateriové akumulace vyrobené elektřiny může být poskytnuta pouze pro systémy s využitelnou kapacitou</w:t>
      </w:r>
      <w:r>
        <w:rPr>
          <w:rStyle w:val="Znakapoznpodarou"/>
          <w:rFonts w:asciiTheme="minorHAnsi" w:hAnsiTheme="minorHAnsi" w:cstheme="minorHAnsi"/>
          <w:sz w:val="24"/>
          <w:szCs w:val="24"/>
          <w:lang w:eastAsia="cs-CZ"/>
        </w:rPr>
        <w:footnoteReference w:id="5"/>
      </w: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 v rozsahu min. 20 % a max. 100 % z teoretické hodinové výroby při instalovaném špičkovém výkonu FVE</w:t>
      </w:r>
      <w:r>
        <w:rPr>
          <w:rStyle w:val="Znakapoznpodarou"/>
          <w:rFonts w:asciiTheme="minorHAnsi" w:hAnsiTheme="minorHAnsi" w:cstheme="minorHAnsi"/>
          <w:sz w:val="24"/>
          <w:szCs w:val="24"/>
          <w:lang w:eastAsia="cs-CZ"/>
        </w:rPr>
        <w:footnoteReference w:id="6"/>
      </w: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. </w:t>
      </w:r>
    </w:p>
    <w:p w14:paraId="6B84B8F9" w14:textId="77777777" w:rsidR="0047312C" w:rsidRPr="007964D0" w:rsidRDefault="0047312C" w:rsidP="0047312C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V případě bateriové akumulace s technologií na bázi olova nebo NiCd jsou podporovány pouze baterie se zajištěnou následnou recyklací (uzavřený cyklus). Účinnost recyklace konkrétního zpracovatele musí být podložena výpočtem dle nařízení EU č. 493/2012, přičemž účinnost recyklace musí být v souladu se směrnicí Evropského parlamentu a rady č. 2006/66/ES pro: </w:t>
      </w:r>
    </w:p>
    <w:p w14:paraId="5DB913E7" w14:textId="77777777" w:rsidR="0047312C" w:rsidRPr="00CF2C0E" w:rsidRDefault="0047312C" w:rsidP="0047312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eastAsia="cs-CZ"/>
        </w:rPr>
      </w:pPr>
      <w:r w:rsidRPr="00CF2C0E">
        <w:rPr>
          <w:rFonts w:asciiTheme="minorHAnsi" w:hAnsiTheme="minorHAnsi" w:cstheme="minorHAnsi"/>
          <w:sz w:val="24"/>
          <w:szCs w:val="24"/>
          <w:lang w:eastAsia="cs-CZ"/>
        </w:rPr>
        <w:t xml:space="preserve">NiCd baterie min. 75 % celkově a 99 % pro Cd, </w:t>
      </w:r>
    </w:p>
    <w:p w14:paraId="203D710B" w14:textId="77777777" w:rsidR="0047312C" w:rsidRPr="00CF2C0E" w:rsidRDefault="0047312C" w:rsidP="0047312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eastAsia="cs-CZ"/>
        </w:rPr>
      </w:pPr>
      <w:r w:rsidRPr="00CF2C0E">
        <w:rPr>
          <w:rFonts w:asciiTheme="minorHAnsi" w:hAnsiTheme="minorHAnsi" w:cstheme="minorHAnsi"/>
          <w:sz w:val="24"/>
          <w:szCs w:val="24"/>
          <w:lang w:eastAsia="cs-CZ"/>
        </w:rPr>
        <w:t>baterie na bázi olova min. 65 % celkově a 97 % pro Pb.</w:t>
      </w:r>
    </w:p>
    <w:p w14:paraId="1BDB6BEA" w14:textId="2F8F3E04" w:rsidR="0047312C" w:rsidRPr="0047312C" w:rsidRDefault="0047312C" w:rsidP="0047312C">
      <w:p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6F04E1">
        <w:rPr>
          <w:rFonts w:asciiTheme="minorHAnsi" w:hAnsiTheme="minorHAnsi" w:cstheme="minorHAnsi"/>
          <w:sz w:val="24"/>
          <w:szCs w:val="24"/>
          <w:lang w:eastAsia="cs-CZ"/>
        </w:rPr>
        <w:t>Pro ostatní technologie (např. lithium, NiMH) není prokázání způsobu následné likvidace bateriového systému požadováno.</w:t>
      </w:r>
    </w:p>
    <w:sectPr w:rsidR="0047312C" w:rsidRPr="00473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C0DB" w14:textId="77777777" w:rsidR="00D24093" w:rsidRDefault="00D24093" w:rsidP="00384AE1">
      <w:pPr>
        <w:spacing w:after="0" w:line="240" w:lineRule="auto"/>
      </w:pPr>
      <w:r>
        <w:separator/>
      </w:r>
    </w:p>
  </w:endnote>
  <w:endnote w:type="continuationSeparator" w:id="0">
    <w:p w14:paraId="08F68CDF" w14:textId="77777777" w:rsidR="00D24093" w:rsidRDefault="00D24093" w:rsidP="0038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3F07" w14:textId="77777777" w:rsidR="00D24093" w:rsidRDefault="00D24093" w:rsidP="00384AE1">
      <w:pPr>
        <w:spacing w:after="0" w:line="240" w:lineRule="auto"/>
      </w:pPr>
      <w:r>
        <w:separator/>
      </w:r>
    </w:p>
  </w:footnote>
  <w:footnote w:type="continuationSeparator" w:id="0">
    <w:p w14:paraId="15FAD3DF" w14:textId="77777777" w:rsidR="00D24093" w:rsidRDefault="00D24093" w:rsidP="00384AE1">
      <w:pPr>
        <w:spacing w:after="0" w:line="240" w:lineRule="auto"/>
      </w:pPr>
      <w:r>
        <w:continuationSeparator/>
      </w:r>
    </w:p>
  </w:footnote>
  <w:footnote w:id="1">
    <w:p w14:paraId="3314055E" w14:textId="77777777" w:rsidR="006D03D7" w:rsidRDefault="006D03D7" w:rsidP="006D03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002F">
        <w:rPr>
          <w:sz w:val="16"/>
          <w:szCs w:val="16"/>
        </w:rPr>
        <w:t>Jedná se o budovy a další infrastrukturu – veřejné osvětlení, vodohospodářská infrastruktura apod., kde byla nainstalována FVE a/nebo ve kterých byly instalovány v rámci projektu podpořené prvky pro optimalizaci spotřeby vyrobené elektřiny.</w:t>
      </w:r>
    </w:p>
  </w:footnote>
  <w:footnote w:id="2">
    <w:p w14:paraId="0CD41A85" w14:textId="02F16E1D" w:rsidR="0047312C" w:rsidRDefault="0047312C" w:rsidP="00473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614DD">
        <w:rPr>
          <w:sz w:val="16"/>
          <w:szCs w:val="16"/>
        </w:rPr>
        <w:t xml:space="preserve">Akreditovaný subjekt podle IEC 17065 (resp. národních mutací, např. ČSN EN ISO/IEC 17065:2013). </w:t>
      </w:r>
      <w:r w:rsidR="00F57444" w:rsidRPr="00F57444">
        <w:rPr>
          <w:sz w:val="16"/>
          <w:szCs w:val="16"/>
        </w:rPr>
        <w:t xml:space="preserve">Za akreditovaný subjekt dle IEC 17065 lze považovat také subjekt uznaný prostřednictvím IECEE, viz seznam na https://www.iecee.org/members/national-certification-bodies. </w:t>
      </w:r>
      <w:r w:rsidRPr="009614DD">
        <w:t xml:space="preserve"> </w:t>
      </w:r>
      <w:r w:rsidR="00F57444">
        <w:t xml:space="preserve"> </w:t>
      </w:r>
      <w:r w:rsidRPr="009614DD">
        <w:t xml:space="preserve"> </w:t>
      </w:r>
    </w:p>
  </w:footnote>
  <w:footnote w:id="3">
    <w:p w14:paraId="400A16F1" w14:textId="77777777" w:rsidR="0047312C" w:rsidRDefault="0047312C" w:rsidP="00473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C79C6">
        <w:rPr>
          <w:sz w:val="16"/>
          <w:szCs w:val="16"/>
        </w:rPr>
        <w:t>Standardní testovací podmínky (Standard Test Conditions) – intenzita záření 1000 W/m2, spektrum AM1,5 Global a teplota modulu 25 °C.</w:t>
      </w:r>
    </w:p>
  </w:footnote>
  <w:footnote w:id="4">
    <w:p w14:paraId="615D55AB" w14:textId="77777777" w:rsidR="0047312C" w:rsidRDefault="0047312C" w:rsidP="00473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7E12">
        <w:rPr>
          <w:sz w:val="16"/>
          <w:szCs w:val="16"/>
        </w:rPr>
        <w:t>Např. baterie s nominální kapacitou 1 kWh musí být schopna dodat za dobu své životnosti min. 2 400 kWh energie.</w:t>
      </w:r>
    </w:p>
  </w:footnote>
  <w:footnote w:id="5">
    <w:p w14:paraId="54AC5F15" w14:textId="77777777" w:rsidR="0047312C" w:rsidRDefault="0047312C" w:rsidP="00473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70AFF">
        <w:rPr>
          <w:sz w:val="16"/>
          <w:szCs w:val="16"/>
        </w:rPr>
        <w:t>Kapacitou bateriového úložiště se rozumí „využitelná kapacita úložiště“. Tato kapacita musí být prokázána garančními testy při uvedení systému do provozu.</w:t>
      </w:r>
    </w:p>
  </w:footnote>
  <w:footnote w:id="6">
    <w:p w14:paraId="73C879EC" w14:textId="77777777" w:rsidR="0047312C" w:rsidRDefault="0047312C" w:rsidP="00473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30420">
        <w:rPr>
          <w:sz w:val="16"/>
          <w:szCs w:val="16"/>
        </w:rPr>
        <w:t>Pro potřeby této výzvy odpovídá instalovanému výkonu FVE 1kWp hodnota teoretické hodinové výroby při instalovaném špičkovém výkonu FVE ve výši 1 kWh.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D01"/>
    <w:multiLevelType w:val="multilevel"/>
    <w:tmpl w:val="089CB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2011B"/>
    <w:multiLevelType w:val="hybridMultilevel"/>
    <w:tmpl w:val="71B81840"/>
    <w:lvl w:ilvl="0" w:tplc="04050019">
      <w:start w:val="1"/>
      <w:numFmt w:val="lowerLetter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470706C"/>
    <w:multiLevelType w:val="hybridMultilevel"/>
    <w:tmpl w:val="E95E7DA8"/>
    <w:lvl w:ilvl="0" w:tplc="1D268E0C">
      <w:start w:val="1"/>
      <w:numFmt w:val="low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58D239D"/>
    <w:multiLevelType w:val="multilevel"/>
    <w:tmpl w:val="F4EE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6D0C73"/>
    <w:multiLevelType w:val="hybridMultilevel"/>
    <w:tmpl w:val="96BAE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15D8E"/>
    <w:multiLevelType w:val="multilevel"/>
    <w:tmpl w:val="CDAA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52703"/>
    <w:multiLevelType w:val="hybridMultilevel"/>
    <w:tmpl w:val="5A1E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F2EB0A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85378">
    <w:abstractNumId w:val="6"/>
  </w:num>
  <w:num w:numId="2" w16cid:durableId="1154490290">
    <w:abstractNumId w:val="5"/>
  </w:num>
  <w:num w:numId="3" w16cid:durableId="121195582">
    <w:abstractNumId w:val="0"/>
  </w:num>
  <w:num w:numId="4" w16cid:durableId="972559876">
    <w:abstractNumId w:val="4"/>
  </w:num>
  <w:num w:numId="5" w16cid:durableId="1890415683">
    <w:abstractNumId w:val="1"/>
  </w:num>
  <w:num w:numId="6" w16cid:durableId="731275618">
    <w:abstractNumId w:val="2"/>
  </w:num>
  <w:num w:numId="7" w16cid:durableId="654340800">
    <w:abstractNumId w:val="3"/>
  </w:num>
  <w:num w:numId="8" w16cid:durableId="2123568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0"/>
    <w:rsid w:val="0005495D"/>
    <w:rsid w:val="00072976"/>
    <w:rsid w:val="00081ABF"/>
    <w:rsid w:val="00091AE8"/>
    <w:rsid w:val="000B2F45"/>
    <w:rsid w:val="000E3452"/>
    <w:rsid w:val="000F4D7B"/>
    <w:rsid w:val="001121C1"/>
    <w:rsid w:val="00127826"/>
    <w:rsid w:val="001659B7"/>
    <w:rsid w:val="00167B58"/>
    <w:rsid w:val="001C3542"/>
    <w:rsid w:val="001D3FD8"/>
    <w:rsid w:val="001F2584"/>
    <w:rsid w:val="00202B42"/>
    <w:rsid w:val="00273B4B"/>
    <w:rsid w:val="002B43AF"/>
    <w:rsid w:val="003169FA"/>
    <w:rsid w:val="003363C6"/>
    <w:rsid w:val="003406B5"/>
    <w:rsid w:val="0034117A"/>
    <w:rsid w:val="003727EC"/>
    <w:rsid w:val="00384AE1"/>
    <w:rsid w:val="00396000"/>
    <w:rsid w:val="003A529D"/>
    <w:rsid w:val="003E746F"/>
    <w:rsid w:val="00400D23"/>
    <w:rsid w:val="00415CA5"/>
    <w:rsid w:val="004719D7"/>
    <w:rsid w:val="0047312C"/>
    <w:rsid w:val="004820E1"/>
    <w:rsid w:val="004B2548"/>
    <w:rsid w:val="00533E03"/>
    <w:rsid w:val="00570233"/>
    <w:rsid w:val="0057755E"/>
    <w:rsid w:val="005B32FF"/>
    <w:rsid w:val="005B68BE"/>
    <w:rsid w:val="005C54A9"/>
    <w:rsid w:val="005D1EA1"/>
    <w:rsid w:val="005F074B"/>
    <w:rsid w:val="0061667E"/>
    <w:rsid w:val="00640A59"/>
    <w:rsid w:val="00641738"/>
    <w:rsid w:val="00663C3E"/>
    <w:rsid w:val="00665468"/>
    <w:rsid w:val="00677742"/>
    <w:rsid w:val="006822CA"/>
    <w:rsid w:val="00687690"/>
    <w:rsid w:val="006A56F1"/>
    <w:rsid w:val="006D03D7"/>
    <w:rsid w:val="006D7A7A"/>
    <w:rsid w:val="007061CD"/>
    <w:rsid w:val="00707DB4"/>
    <w:rsid w:val="00734E43"/>
    <w:rsid w:val="00740083"/>
    <w:rsid w:val="007448AD"/>
    <w:rsid w:val="00761D6B"/>
    <w:rsid w:val="00771B0F"/>
    <w:rsid w:val="007842A4"/>
    <w:rsid w:val="007A453E"/>
    <w:rsid w:val="007C1BCE"/>
    <w:rsid w:val="007C3C40"/>
    <w:rsid w:val="00827C78"/>
    <w:rsid w:val="00856446"/>
    <w:rsid w:val="00871F62"/>
    <w:rsid w:val="008A58BF"/>
    <w:rsid w:val="008C6E23"/>
    <w:rsid w:val="008D512B"/>
    <w:rsid w:val="008E4A27"/>
    <w:rsid w:val="008E7909"/>
    <w:rsid w:val="009549B2"/>
    <w:rsid w:val="009E454F"/>
    <w:rsid w:val="009E5518"/>
    <w:rsid w:val="00A00E71"/>
    <w:rsid w:val="00A07D9C"/>
    <w:rsid w:val="00A50351"/>
    <w:rsid w:val="00A50AF8"/>
    <w:rsid w:val="00B11D42"/>
    <w:rsid w:val="00B44B2C"/>
    <w:rsid w:val="00B57DFA"/>
    <w:rsid w:val="00B6729F"/>
    <w:rsid w:val="00B73FF2"/>
    <w:rsid w:val="00B779F7"/>
    <w:rsid w:val="00B77EE0"/>
    <w:rsid w:val="00BA0D7C"/>
    <w:rsid w:val="00BA2F21"/>
    <w:rsid w:val="00BF6A6B"/>
    <w:rsid w:val="00C46D92"/>
    <w:rsid w:val="00CB1BD4"/>
    <w:rsid w:val="00CD1BC1"/>
    <w:rsid w:val="00CE57A1"/>
    <w:rsid w:val="00D000EA"/>
    <w:rsid w:val="00D03C7C"/>
    <w:rsid w:val="00D14DD8"/>
    <w:rsid w:val="00D24093"/>
    <w:rsid w:val="00D25093"/>
    <w:rsid w:val="00D437DA"/>
    <w:rsid w:val="00D539C2"/>
    <w:rsid w:val="00D771D4"/>
    <w:rsid w:val="00D92DA7"/>
    <w:rsid w:val="00DD295F"/>
    <w:rsid w:val="00E078E1"/>
    <w:rsid w:val="00E20B42"/>
    <w:rsid w:val="00E20DC5"/>
    <w:rsid w:val="00E45FE7"/>
    <w:rsid w:val="00E66998"/>
    <w:rsid w:val="00E70B45"/>
    <w:rsid w:val="00E74E76"/>
    <w:rsid w:val="00E86A26"/>
    <w:rsid w:val="00EA6B34"/>
    <w:rsid w:val="00EC6FBB"/>
    <w:rsid w:val="00EF0965"/>
    <w:rsid w:val="00F206EA"/>
    <w:rsid w:val="00F36156"/>
    <w:rsid w:val="00F57444"/>
    <w:rsid w:val="00F700CA"/>
    <w:rsid w:val="00F93547"/>
    <w:rsid w:val="00FA4D19"/>
    <w:rsid w:val="00FC1080"/>
    <w:rsid w:val="00FE076B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42D6"/>
  <w15:chartTrackingRefBased/>
  <w15:docId w15:val="{CBFA8BE0-EB44-43C0-845D-D944C2AF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aliases w:val="tl"/>
    <w:basedOn w:val="Normln"/>
    <w:next w:val="Normln"/>
    <w:link w:val="NzevChar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tl Char"/>
    <w:basedOn w:val="Standardnpsmoodstavce"/>
    <w:link w:val="Nzev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3D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3D7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03D7"/>
    <w:rPr>
      <w:vertAlign w:val="superscript"/>
    </w:rPr>
  </w:style>
  <w:style w:type="paragraph" w:customStyle="1" w:styleId="Default">
    <w:name w:val="Default"/>
    <w:rsid w:val="005D1E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363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63C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63C6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3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3C6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3C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56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09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2573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Jan Orel</cp:lastModifiedBy>
  <cp:revision>23</cp:revision>
  <dcterms:created xsi:type="dcterms:W3CDTF">2024-09-26T18:57:00Z</dcterms:created>
  <dcterms:modified xsi:type="dcterms:W3CDTF">2025-06-08T11:39:00Z</dcterms:modified>
</cp:coreProperties>
</file>