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C0725F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298DBF0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 xml:space="preserve">Vodíková plnící stanice </w:t>
            </w:r>
            <w:r w:rsidRPr="00881CC7">
              <w:rPr>
                <w:rFonts w:asciiTheme="majorHAnsi" w:hAnsiTheme="majorHAnsi" w:cstheme="majorHAnsi"/>
                <w:b/>
              </w:rPr>
              <w:t>Napajedla</w:t>
            </w:r>
            <w:r w:rsidR="00B53BD8" w:rsidRPr="00881CC7">
              <w:rPr>
                <w:rFonts w:asciiTheme="majorHAnsi" w:hAnsiTheme="majorHAnsi" w:cstheme="majorHAnsi"/>
                <w:b/>
              </w:rPr>
              <w:t xml:space="preserve"> - II</w:t>
            </w:r>
          </w:p>
        </w:tc>
      </w:tr>
      <w:tr w:rsidR="00C0725F" w:rsidRPr="00C16997" w14:paraId="6BECB999" w14:textId="77777777" w:rsidTr="54A9FA29">
        <w:tc>
          <w:tcPr>
            <w:tcW w:w="3114" w:type="dxa"/>
          </w:tcPr>
          <w:p w14:paraId="48E215BE" w14:textId="77777777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2590B113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E6414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C0725F" w:rsidRPr="00C16997" w14:paraId="16E049F7" w14:textId="77777777" w:rsidTr="54A9FA29">
        <w:tc>
          <w:tcPr>
            <w:tcW w:w="3114" w:type="dxa"/>
          </w:tcPr>
          <w:p w14:paraId="73991392" w14:textId="093DACF0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1049691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E6414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21ACAA13" w:rsidR="00494E93" w:rsidRPr="00EE7B29" w:rsidRDefault="00494E93" w:rsidP="4D7A93C3">
      <w:pPr>
        <w:spacing w:line="276" w:lineRule="auto"/>
        <w:jc w:val="both"/>
        <w:rPr>
          <w:rFonts w:asciiTheme="majorHAnsi" w:hAnsiTheme="majorHAnsi" w:cstheme="majorHAnsi"/>
        </w:rPr>
      </w:pPr>
      <w:r w:rsidRPr="00EE7B29">
        <w:rPr>
          <w:rFonts w:asciiTheme="majorHAnsi" w:hAnsiTheme="majorHAnsi" w:cstheme="majorHAnsi"/>
        </w:rPr>
        <w:t xml:space="preserve">Tento dokument stanovuje minimální požadované technické parametry předmětu veřejné zakázky – </w:t>
      </w:r>
      <w:r w:rsidR="00EE7B29" w:rsidRPr="00EE7B29">
        <w:rPr>
          <w:rFonts w:asciiTheme="majorHAnsi" w:hAnsiTheme="majorHAnsi" w:cstheme="majorHAnsi"/>
          <w:b/>
          <w:bCs/>
        </w:rPr>
        <w:t xml:space="preserve">veřejné vodíkové plnící stanice </w:t>
      </w:r>
      <w:r w:rsidRPr="00EE7B29">
        <w:rPr>
          <w:rFonts w:asciiTheme="majorHAnsi" w:hAnsiTheme="majorHAnsi" w:cstheme="majorHAnsi"/>
        </w:rPr>
        <w:t>(dále jako „</w:t>
      </w:r>
      <w:r w:rsidRPr="00EE7B29">
        <w:rPr>
          <w:rFonts w:asciiTheme="majorHAnsi" w:hAnsiTheme="majorHAnsi" w:cstheme="majorHAnsi"/>
          <w:b/>
          <w:bCs/>
        </w:rPr>
        <w:t>předmět veřejné zakázky</w:t>
      </w:r>
      <w:r w:rsidRPr="00EE7B29">
        <w:rPr>
          <w:rFonts w:asciiTheme="majorHAnsi" w:hAnsiTheme="majorHAnsi" w:cstheme="majorHAnsi"/>
        </w:rPr>
        <w:t>“ nebo „</w:t>
      </w:r>
      <w:r w:rsidRPr="00EE7B29">
        <w:rPr>
          <w:rFonts w:asciiTheme="majorHAnsi" w:hAnsiTheme="majorHAnsi" w:cstheme="majorHAnsi"/>
          <w:b/>
          <w:bCs/>
        </w:rPr>
        <w:t>zařízení</w:t>
      </w:r>
      <w:r w:rsidRPr="00EE7B29">
        <w:rPr>
          <w:rFonts w:asciiTheme="majorHAnsi" w:hAnsiTheme="majorHAnsi" w:cstheme="majorHAnsi"/>
        </w:rPr>
        <w:t>“).</w:t>
      </w:r>
      <w:r w:rsidR="4DB67052" w:rsidRPr="00EE7B29">
        <w:rPr>
          <w:rFonts w:asciiTheme="majorHAnsi" w:hAnsiTheme="majorHAnsi" w:cstheme="majorHAnsi"/>
        </w:rPr>
        <w:t xml:space="preserve"> </w:t>
      </w:r>
      <w:r w:rsidR="4DB67052" w:rsidRPr="00EE7B29">
        <w:rPr>
          <w:rFonts w:asciiTheme="majorHAnsi" w:eastAsia="Calibri Light" w:hAnsiTheme="majorHAnsi" w:cstheme="majorHAnsi"/>
        </w:rPr>
        <w:t xml:space="preserve">V případě nejasností ohledně splnění určitého parametru může zadavatel po účastníkovi v rámci objasnění nabídky ve smyslu § 46 odst. 1 ZZVZ požadovat předložení produktových listů vyhotovených výrobcem </w:t>
      </w:r>
      <w:r w:rsidR="00EE7B29" w:rsidRPr="00EE7B29">
        <w:rPr>
          <w:rFonts w:asciiTheme="majorHAnsi" w:eastAsia="Calibri Light" w:hAnsiTheme="majorHAnsi" w:cstheme="majorHAnsi"/>
        </w:rPr>
        <w:t>jednotlivých komponent</w:t>
      </w:r>
      <w:r w:rsidR="4DB67052" w:rsidRPr="00EE7B29">
        <w:rPr>
          <w:rFonts w:asciiTheme="majorHAnsi" w:eastAsia="Calibri Light" w:hAnsiTheme="majorHAnsi" w:cstheme="majorHAnsi"/>
        </w:rPr>
        <w:t xml:space="preserve"> nebo vzorků či modelů zařízení.</w:t>
      </w:r>
    </w:p>
    <w:p w14:paraId="1EC82020" w14:textId="53EF09F5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</w:t>
      </w:r>
      <w:r w:rsidR="00316583">
        <w:rPr>
          <w:rFonts w:asciiTheme="majorHAnsi" w:hAnsiTheme="majorHAnsi" w:cstheme="majorHAnsi"/>
        </w:rPr>
        <w:t xml:space="preserve">uvedené v zadávací dokumentaci </w:t>
      </w:r>
      <w:r w:rsidRPr="00C16997">
        <w:rPr>
          <w:rFonts w:asciiTheme="majorHAnsi" w:hAnsiTheme="majorHAnsi" w:cstheme="majorHAnsi"/>
        </w:rPr>
        <w:t xml:space="preserve">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D149899" w14:textId="77777777" w:rsidR="002847A7" w:rsidRDefault="002847A7" w:rsidP="002847A7">
      <w:pPr>
        <w:spacing w:after="120" w:line="276" w:lineRule="auto"/>
        <w:jc w:val="both"/>
        <w:outlineLvl w:val="1"/>
        <w:rPr>
          <w:rFonts w:asciiTheme="majorHAnsi" w:hAnsiTheme="majorHAnsi" w:cstheme="majorHAnsi"/>
        </w:rPr>
      </w:pPr>
    </w:p>
    <w:p w14:paraId="2B88DBB2" w14:textId="785C040F" w:rsidR="002847A7" w:rsidRPr="00733A76" w:rsidRDefault="002847A7" w:rsidP="002847A7">
      <w:pPr>
        <w:spacing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>Technické podmínky stanoví zadavatel odkazem na následující dokumenty podle uvedeného pořadí:</w:t>
      </w:r>
    </w:p>
    <w:p w14:paraId="3C60FBF4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a) české technické normy přejímající evropské normy </w:t>
      </w:r>
      <w:r>
        <w:rPr>
          <w:rFonts w:asciiTheme="majorHAnsi" w:hAnsiTheme="majorHAnsi" w:cstheme="majorHAnsi"/>
        </w:rPr>
        <w:t>přijaté evropským normalizačními orgány a zpřístupněné veřejností</w:t>
      </w:r>
      <w:r w:rsidRPr="00733A76">
        <w:rPr>
          <w:rFonts w:asciiTheme="majorHAnsi" w:hAnsiTheme="majorHAnsi" w:cstheme="majorHAnsi"/>
        </w:rPr>
        <w:t xml:space="preserve">, </w:t>
      </w:r>
    </w:p>
    <w:p w14:paraId="6FAE93A2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>b) evropsk</w:t>
      </w:r>
      <w:r>
        <w:rPr>
          <w:rFonts w:asciiTheme="majorHAnsi" w:hAnsiTheme="majorHAnsi" w:cstheme="majorHAnsi"/>
        </w:rPr>
        <w:t>é</w:t>
      </w:r>
      <w:r w:rsidRPr="00733A76">
        <w:rPr>
          <w:rFonts w:asciiTheme="majorHAnsi" w:hAnsiTheme="majorHAnsi" w:cstheme="majorHAnsi"/>
        </w:rPr>
        <w:t xml:space="preserve"> technick</w:t>
      </w:r>
      <w:r>
        <w:rPr>
          <w:rFonts w:asciiTheme="majorHAnsi" w:hAnsiTheme="majorHAnsi" w:cstheme="majorHAnsi"/>
        </w:rPr>
        <w:t>é posouzení</w:t>
      </w:r>
      <w:r w:rsidRPr="00733A76">
        <w:rPr>
          <w:rFonts w:asciiTheme="majorHAnsi" w:hAnsiTheme="majorHAnsi" w:cstheme="majorHAnsi"/>
        </w:rPr>
        <w:t xml:space="preserve">, </w:t>
      </w:r>
    </w:p>
    <w:p w14:paraId="17629F72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c) obecné technické specifikace stanovené v souladu s postupem uznaným členskými státy Evropské unie a uveřejněné v Úředním věstníku Evropské unie, </w:t>
      </w:r>
    </w:p>
    <w:p w14:paraId="3D8B99FA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d) mezinárodní normy, nebo </w:t>
      </w:r>
    </w:p>
    <w:p w14:paraId="2F9EE330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e) jiné typy technických dokumentů než normy, vydané evropskými normalizačními orgány. </w:t>
      </w:r>
    </w:p>
    <w:p w14:paraId="5E0D25AA" w14:textId="77777777" w:rsidR="001C10AB" w:rsidRDefault="001C10AB" w:rsidP="002847A7">
      <w:pPr>
        <w:spacing w:before="240" w:after="120" w:line="276" w:lineRule="auto"/>
        <w:jc w:val="both"/>
        <w:outlineLvl w:val="1"/>
        <w:rPr>
          <w:rFonts w:asciiTheme="majorHAnsi" w:hAnsiTheme="majorHAnsi" w:cstheme="majorHAnsi"/>
        </w:rPr>
      </w:pPr>
    </w:p>
    <w:p w14:paraId="7D7E7A55" w14:textId="23570FFD" w:rsidR="002847A7" w:rsidRPr="00733A76" w:rsidRDefault="002847A7" w:rsidP="002847A7">
      <w:pPr>
        <w:spacing w:before="24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lastRenderedPageBreak/>
        <w:t xml:space="preserve">Veškeré odkazy na výše uvedené dokumenty jsou uvedeny v projektové dokumentaci, a to bez ohledu na to, zda jsou uvedeny v její textové nebo výkresové části. Technické podmínky mohou být v projektové dokumentaci vymezeny rovněž odkazem na: </w:t>
      </w:r>
    </w:p>
    <w:p w14:paraId="7827FD2C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a) české technické normy, </w:t>
      </w:r>
    </w:p>
    <w:p w14:paraId="31286936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b) stavební technická osvědčení, nebo </w:t>
      </w:r>
    </w:p>
    <w:p w14:paraId="76590991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c) národní technické podmínky vztahující se k navrhování, posuzování a provádění staveb a stavebních prací a použití výrobků. </w:t>
      </w:r>
    </w:p>
    <w:p w14:paraId="50D0EE6B" w14:textId="77777777" w:rsidR="002847A7" w:rsidRDefault="002847A7" w:rsidP="002847A7">
      <w:pPr>
        <w:spacing w:before="24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U každého odkazu podle </w:t>
      </w:r>
      <w:r>
        <w:rPr>
          <w:rFonts w:asciiTheme="majorHAnsi" w:hAnsiTheme="majorHAnsi" w:cstheme="majorHAnsi"/>
        </w:rPr>
        <w:t xml:space="preserve">výše uvedených </w:t>
      </w:r>
      <w:r w:rsidRPr="00733A76">
        <w:rPr>
          <w:rFonts w:asciiTheme="majorHAnsi" w:hAnsiTheme="majorHAnsi" w:cstheme="majorHAnsi"/>
        </w:rPr>
        <w:t>odstavc</w:t>
      </w:r>
      <w:r>
        <w:rPr>
          <w:rFonts w:asciiTheme="majorHAnsi" w:hAnsiTheme="majorHAnsi" w:cstheme="majorHAnsi"/>
        </w:rPr>
        <w:t>ů v tomto bodě</w:t>
      </w:r>
      <w:r w:rsidRPr="00733A76">
        <w:rPr>
          <w:rFonts w:asciiTheme="majorHAnsi" w:hAnsiTheme="majorHAnsi" w:cstheme="majorHAnsi"/>
        </w:rPr>
        <w:t xml:space="preserve"> zadavatel připouští použití i jiných, kvalitativně a technicky obdobných řešení. 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1547CE96" w:rsidR="00494E93" w:rsidRPr="00191F4B" w:rsidRDefault="00494E93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</w:rPr>
        <w:t xml:space="preserve">Účastník </w:t>
      </w:r>
      <w:r w:rsidR="00EE7B29" w:rsidRPr="00191F4B">
        <w:rPr>
          <w:rFonts w:asciiTheme="majorHAnsi" w:hAnsiTheme="majorHAnsi" w:cstheme="majorHAnsi"/>
          <w:b/>
        </w:rPr>
        <w:t xml:space="preserve">předloží jako součást nabídky </w:t>
      </w:r>
      <w:r w:rsidR="00EE7B29" w:rsidRPr="00191F4B">
        <w:rPr>
          <w:rFonts w:asciiTheme="majorHAnsi" w:hAnsiTheme="majorHAnsi" w:cstheme="majorHAnsi"/>
          <w:b/>
          <w:lang w:eastAsia="x-none"/>
        </w:rPr>
        <w:t>technický popis nabízené technologie vodíkové plnící stanice vč. zjednodušeného schématu, označení výrobce nabízené technologie a případně i typové označení, jedná-li se o typovou technologii</w:t>
      </w:r>
      <w:r w:rsidRPr="00191F4B">
        <w:rPr>
          <w:rFonts w:asciiTheme="majorHAnsi" w:hAnsiTheme="majorHAnsi" w:cstheme="majorHAnsi"/>
          <w:b/>
        </w:rPr>
        <w:t>.</w:t>
      </w:r>
      <w:r w:rsidRPr="00191F4B">
        <w:rPr>
          <w:rFonts w:asciiTheme="majorHAnsi" w:hAnsiTheme="majorHAnsi" w:cstheme="majorHAnsi"/>
        </w:rPr>
        <w:t xml:space="preserve"> </w:t>
      </w:r>
      <w:r w:rsidR="00EE7B29" w:rsidRPr="00191F4B">
        <w:rPr>
          <w:rFonts w:asciiTheme="majorHAnsi" w:hAnsiTheme="majorHAnsi" w:cstheme="majorHAnsi"/>
        </w:rPr>
        <w:t>Z předloženého dokumentu musí být zcela a bez pochyb zřejmé, že nabízené plnění splňuje veškeré technické parametry.</w:t>
      </w:r>
    </w:p>
    <w:p w14:paraId="2634543F" w14:textId="77777777" w:rsidR="005163DD" w:rsidRDefault="005163DD" w:rsidP="00E427BD">
      <w:pPr>
        <w:spacing w:line="276" w:lineRule="auto"/>
        <w:jc w:val="both"/>
        <w:rPr>
          <w:rFonts w:asciiTheme="majorHAnsi" w:hAnsiTheme="majorHAnsi" w:cstheme="majorHAnsi"/>
        </w:rPr>
      </w:pPr>
    </w:p>
    <w:p w14:paraId="73DBC3D5" w14:textId="285A2B1A" w:rsidR="00355956" w:rsidRPr="00191F4B" w:rsidRDefault="00355956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Zadavatel požaduje samostatný výdejní stojan (hadici) pro plnění osobních vozidel a samostatný výdejní stojan (hadici) pro nákladní vozidla a autobusy. Je přípustná kombinace obou těchto přípojných míst do jediné skříně, tzn. nebude požadován jiný příjezd a místo plnění zvlášť pro nákladní a osobní dopravu. </w:t>
      </w:r>
    </w:p>
    <w:p w14:paraId="0C9A4FD6" w14:textId="4AE91395" w:rsidR="00EE7B29" w:rsidRPr="00191F4B" w:rsidRDefault="00EE7B29" w:rsidP="1C8C062B">
      <w:pPr>
        <w:spacing w:line="276" w:lineRule="auto"/>
        <w:jc w:val="both"/>
        <w:rPr>
          <w:rFonts w:asciiTheme="majorHAnsi" w:hAnsiTheme="majorHAnsi" w:cstheme="majorBidi"/>
        </w:rPr>
      </w:pPr>
      <w:r w:rsidRPr="1C8C062B">
        <w:rPr>
          <w:rFonts w:asciiTheme="majorHAnsi" w:hAnsiTheme="majorHAnsi" w:cstheme="majorBidi"/>
        </w:rPr>
        <w:t xml:space="preserve">Storage </w:t>
      </w:r>
      <w:r w:rsidR="001C7496" w:rsidRPr="1C8C062B">
        <w:rPr>
          <w:rFonts w:asciiTheme="majorHAnsi" w:hAnsiTheme="majorHAnsi" w:cstheme="majorBidi"/>
        </w:rPr>
        <w:t>(</w:t>
      </w:r>
      <w:r w:rsidR="001C7496" w:rsidRPr="1C8C062B">
        <w:rPr>
          <w:rFonts w:asciiTheme="majorHAnsi" w:hAnsiTheme="majorHAnsi" w:cstheme="majorBidi"/>
          <w:b/>
          <w:bCs/>
        </w:rPr>
        <w:t>úložiště vodíku o kapacitě minimálně 300</w:t>
      </w:r>
      <w:r w:rsidR="00E427BD" w:rsidRPr="1C8C062B">
        <w:rPr>
          <w:rFonts w:asciiTheme="majorHAnsi" w:hAnsiTheme="majorHAnsi" w:cstheme="majorBidi"/>
          <w:b/>
          <w:bCs/>
        </w:rPr>
        <w:t xml:space="preserve"> </w:t>
      </w:r>
      <w:r w:rsidR="001C7496" w:rsidRPr="1C8C062B">
        <w:rPr>
          <w:rFonts w:asciiTheme="majorHAnsi" w:hAnsiTheme="majorHAnsi" w:cstheme="majorBidi"/>
          <w:b/>
          <w:bCs/>
        </w:rPr>
        <w:t>kg</w:t>
      </w:r>
      <w:r w:rsidR="55F87E76" w:rsidRPr="1C8C062B">
        <w:rPr>
          <w:rFonts w:asciiTheme="majorHAnsi" w:hAnsiTheme="majorHAnsi" w:cstheme="majorBidi"/>
          <w:b/>
          <w:bCs/>
        </w:rPr>
        <w:t xml:space="preserve"> vztaženo k</w:t>
      </w:r>
      <w:r w:rsidR="411F7F33" w:rsidRPr="1C8C062B">
        <w:rPr>
          <w:rFonts w:asciiTheme="majorHAnsi" w:hAnsiTheme="majorHAnsi" w:cstheme="majorBidi"/>
          <w:b/>
          <w:bCs/>
        </w:rPr>
        <w:t xml:space="preserve"> minimálnímu</w:t>
      </w:r>
      <w:r w:rsidR="55F87E76" w:rsidRPr="1C8C062B">
        <w:rPr>
          <w:rFonts w:asciiTheme="majorHAnsi" w:hAnsiTheme="majorHAnsi" w:cstheme="majorBidi"/>
          <w:b/>
          <w:bCs/>
        </w:rPr>
        <w:t xml:space="preserve"> skladovacímu tlaku 300</w:t>
      </w:r>
      <w:r w:rsidR="07EB86B0" w:rsidRPr="1C8C062B">
        <w:rPr>
          <w:rFonts w:asciiTheme="majorHAnsi" w:hAnsiTheme="majorHAnsi" w:cstheme="majorBidi"/>
          <w:b/>
          <w:bCs/>
        </w:rPr>
        <w:t xml:space="preserve"> </w:t>
      </w:r>
      <w:r w:rsidR="55F87E76" w:rsidRPr="1C8C062B">
        <w:rPr>
          <w:rFonts w:asciiTheme="majorHAnsi" w:hAnsiTheme="majorHAnsi" w:cstheme="majorBidi"/>
          <w:b/>
          <w:bCs/>
        </w:rPr>
        <w:t>bar</w:t>
      </w:r>
      <w:r w:rsidR="001C7496" w:rsidRPr="1C8C062B">
        <w:rPr>
          <w:rFonts w:asciiTheme="majorHAnsi" w:hAnsiTheme="majorHAnsi" w:cstheme="majorBidi"/>
        </w:rPr>
        <w:t xml:space="preserve">) </w:t>
      </w:r>
      <w:r w:rsidRPr="1C8C062B">
        <w:rPr>
          <w:rFonts w:asciiTheme="majorHAnsi" w:hAnsiTheme="majorHAnsi" w:cstheme="majorBidi"/>
        </w:rPr>
        <w:t>bude škálovateln</w:t>
      </w:r>
      <w:r w:rsidR="001C7496" w:rsidRPr="1C8C062B">
        <w:rPr>
          <w:rFonts w:asciiTheme="majorHAnsi" w:hAnsiTheme="majorHAnsi" w:cstheme="majorBidi"/>
        </w:rPr>
        <w:t>é</w:t>
      </w:r>
      <w:r w:rsidRPr="1C8C062B">
        <w:rPr>
          <w:rFonts w:asciiTheme="majorHAnsi" w:hAnsiTheme="majorHAnsi" w:cstheme="majorBidi"/>
        </w:rPr>
        <w:t xml:space="preserve"> </w:t>
      </w:r>
      <w:r w:rsidR="001C7496" w:rsidRPr="1C8C062B">
        <w:rPr>
          <w:rFonts w:asciiTheme="majorHAnsi" w:hAnsiTheme="majorHAnsi" w:cstheme="majorBidi"/>
        </w:rPr>
        <w:t>modulární řešení</w:t>
      </w:r>
      <w:r w:rsidRPr="1C8C062B">
        <w:rPr>
          <w:rFonts w:asciiTheme="majorHAnsi" w:hAnsiTheme="majorHAnsi" w:cstheme="majorBidi"/>
        </w:rPr>
        <w:t>, tzn</w:t>
      </w:r>
      <w:r w:rsidR="00DF780E" w:rsidRPr="1C8C062B">
        <w:rPr>
          <w:rFonts w:asciiTheme="majorHAnsi" w:hAnsiTheme="majorHAnsi" w:cstheme="majorBidi"/>
        </w:rPr>
        <w:t>.</w:t>
      </w:r>
      <w:r w:rsidRPr="1C8C062B">
        <w:rPr>
          <w:rFonts w:asciiTheme="majorHAnsi" w:hAnsiTheme="majorHAnsi" w:cstheme="majorBidi"/>
        </w:rPr>
        <w:t xml:space="preserve"> při zvýšení </w:t>
      </w:r>
      <w:r w:rsidR="001C7496" w:rsidRPr="1C8C062B">
        <w:rPr>
          <w:rFonts w:asciiTheme="majorHAnsi" w:hAnsiTheme="majorHAnsi" w:cstheme="majorBidi"/>
        </w:rPr>
        <w:t>utilizace plnící stanice</w:t>
      </w:r>
      <w:r w:rsidRPr="1C8C062B">
        <w:rPr>
          <w:rFonts w:asciiTheme="majorHAnsi" w:hAnsiTheme="majorHAnsi" w:cstheme="majorBidi"/>
        </w:rPr>
        <w:t xml:space="preserve"> bude možné systém rozšířit o další kapacitu (s využitím volných částí přilehlých pozemků ve vlastnictví zadavatele)</w:t>
      </w:r>
      <w:r w:rsidR="001C7496" w:rsidRPr="1C8C062B">
        <w:rPr>
          <w:rFonts w:asciiTheme="majorHAnsi" w:hAnsiTheme="majorHAnsi" w:cstheme="majorBidi"/>
        </w:rPr>
        <w:t>, a to až na dvojnásobek původní kapacity</w:t>
      </w:r>
      <w:r w:rsidRPr="1C8C062B">
        <w:rPr>
          <w:rFonts w:asciiTheme="majorHAnsi" w:hAnsiTheme="majorHAnsi" w:cstheme="majorBidi"/>
        </w:rPr>
        <w:t>. </w:t>
      </w:r>
    </w:p>
    <w:p w14:paraId="63F1D86B" w14:textId="112FE6BC" w:rsidR="00EE7B29" w:rsidRPr="00191F4B" w:rsidRDefault="000E2167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Systém komprese a ukládání vodíku </w:t>
      </w:r>
      <w:r w:rsidR="00EE7B29" w:rsidRPr="00191F4B">
        <w:rPr>
          <w:rFonts w:asciiTheme="majorHAnsi" w:hAnsiTheme="majorHAnsi" w:cstheme="majorHAnsi"/>
        </w:rPr>
        <w:t xml:space="preserve">umožní </w:t>
      </w:r>
      <w:r w:rsidR="00E427BD" w:rsidRPr="00191F4B">
        <w:rPr>
          <w:rFonts w:asciiTheme="majorHAnsi" w:hAnsiTheme="majorHAnsi" w:cstheme="majorHAnsi"/>
        </w:rPr>
        <w:t>plnit samostatné</w:t>
      </w:r>
      <w:r w:rsidR="00D66743" w:rsidRPr="00191F4B">
        <w:rPr>
          <w:rFonts w:asciiTheme="majorHAnsi" w:hAnsiTheme="majorHAnsi" w:cstheme="majorHAnsi"/>
        </w:rPr>
        <w:t xml:space="preserve"> svazky tlakových lahví</w:t>
      </w:r>
      <w:r w:rsidR="00EE7B29" w:rsidRPr="00191F4B">
        <w:rPr>
          <w:rFonts w:asciiTheme="majorHAnsi" w:hAnsiTheme="majorHAnsi" w:cstheme="majorHAnsi"/>
        </w:rPr>
        <w:t xml:space="preserve"> </w:t>
      </w:r>
      <w:r w:rsidR="00D66743" w:rsidRPr="00191F4B">
        <w:rPr>
          <w:rFonts w:asciiTheme="majorHAnsi" w:hAnsiTheme="majorHAnsi" w:cstheme="majorHAnsi"/>
        </w:rPr>
        <w:t xml:space="preserve">(nezávislé na celkové kapacitě úložiště vodíku) tak, aby bylo po naplnění dosaženo </w:t>
      </w:r>
      <w:r w:rsidR="00D66743" w:rsidRPr="00191F4B">
        <w:rPr>
          <w:rFonts w:asciiTheme="majorHAnsi" w:hAnsiTheme="majorHAnsi" w:cstheme="majorHAnsi"/>
          <w:b/>
          <w:bCs/>
        </w:rPr>
        <w:t xml:space="preserve">transportního tlaku </w:t>
      </w:r>
      <w:r w:rsidR="006F3884" w:rsidRPr="00191F4B">
        <w:rPr>
          <w:rFonts w:asciiTheme="majorHAnsi" w:hAnsiTheme="majorHAnsi" w:cstheme="majorHAnsi"/>
          <w:b/>
          <w:bCs/>
        </w:rPr>
        <w:t xml:space="preserve">350 </w:t>
      </w:r>
      <w:r w:rsidR="00EE7B29" w:rsidRPr="00191F4B">
        <w:rPr>
          <w:rFonts w:asciiTheme="majorHAnsi" w:hAnsiTheme="majorHAnsi" w:cstheme="majorHAnsi"/>
          <w:b/>
          <w:bCs/>
        </w:rPr>
        <w:t>bar</w:t>
      </w:r>
      <w:r w:rsidR="00EE7B29" w:rsidRPr="00191F4B">
        <w:rPr>
          <w:rFonts w:asciiTheme="majorHAnsi" w:hAnsiTheme="majorHAnsi" w:cstheme="majorHAnsi"/>
        </w:rPr>
        <w:t xml:space="preserve"> a </w:t>
      </w:r>
      <w:r w:rsidR="002E1840" w:rsidRPr="00191F4B">
        <w:rPr>
          <w:rFonts w:asciiTheme="majorHAnsi" w:hAnsiTheme="majorHAnsi" w:cstheme="majorHAnsi"/>
        </w:rPr>
        <w:t xml:space="preserve">dále </w:t>
      </w:r>
      <w:r w:rsidR="00D66743" w:rsidRPr="00191F4B">
        <w:rPr>
          <w:rFonts w:asciiTheme="majorHAnsi" w:hAnsiTheme="majorHAnsi" w:cstheme="majorHAnsi"/>
        </w:rPr>
        <w:t xml:space="preserve">umožní plnit </w:t>
      </w:r>
      <w:r w:rsidR="002E1840" w:rsidRPr="00191F4B">
        <w:rPr>
          <w:rFonts w:asciiTheme="majorHAnsi" w:hAnsiTheme="majorHAnsi" w:cstheme="majorHAnsi"/>
        </w:rPr>
        <w:t xml:space="preserve">transportní zásobníky např. návěsy nebo </w:t>
      </w:r>
      <w:r w:rsidR="00E427BD" w:rsidRPr="00191F4B">
        <w:rPr>
          <w:rFonts w:asciiTheme="majorHAnsi" w:hAnsiTheme="majorHAnsi" w:cstheme="majorHAnsi"/>
        </w:rPr>
        <w:t>přívěsy tak</w:t>
      </w:r>
      <w:r w:rsidR="002E1840" w:rsidRPr="00191F4B">
        <w:rPr>
          <w:rFonts w:asciiTheme="majorHAnsi" w:hAnsiTheme="majorHAnsi" w:cstheme="majorHAnsi"/>
        </w:rPr>
        <w:t xml:space="preserve">, aby bylo po naplnění dosaženo </w:t>
      </w:r>
      <w:r w:rsidR="002E1840" w:rsidRPr="00191F4B">
        <w:rPr>
          <w:rFonts w:asciiTheme="majorHAnsi" w:hAnsiTheme="majorHAnsi" w:cstheme="majorHAnsi"/>
          <w:b/>
          <w:bCs/>
        </w:rPr>
        <w:t xml:space="preserve">transportního tlaku </w:t>
      </w:r>
      <w:r w:rsidR="00EE7B29" w:rsidRPr="00191F4B">
        <w:rPr>
          <w:rFonts w:asciiTheme="majorHAnsi" w:hAnsiTheme="majorHAnsi" w:cstheme="majorHAnsi"/>
          <w:b/>
          <w:bCs/>
        </w:rPr>
        <w:t>200 bar</w:t>
      </w:r>
      <w:r w:rsidR="002E1840" w:rsidRPr="00191F4B">
        <w:rPr>
          <w:rFonts w:asciiTheme="majorHAnsi" w:hAnsiTheme="majorHAnsi" w:cstheme="majorHAnsi"/>
        </w:rPr>
        <w:t>.</w:t>
      </w:r>
      <w:r w:rsidR="00EE7B29" w:rsidRPr="00191F4B">
        <w:rPr>
          <w:rFonts w:asciiTheme="majorHAnsi" w:hAnsiTheme="majorHAnsi" w:cstheme="majorHAnsi"/>
        </w:rPr>
        <w:t xml:space="preserve"> </w:t>
      </w:r>
      <w:r w:rsidR="002E1840" w:rsidRPr="00191F4B">
        <w:rPr>
          <w:rFonts w:asciiTheme="majorHAnsi" w:hAnsiTheme="majorHAnsi" w:cstheme="majorHAnsi"/>
        </w:rPr>
        <w:t>Tzn</w:t>
      </w:r>
      <w:r w:rsidR="00EE7B29" w:rsidRPr="00191F4B">
        <w:rPr>
          <w:rFonts w:asciiTheme="majorHAnsi" w:hAnsiTheme="majorHAnsi" w:cstheme="majorHAnsi"/>
        </w:rPr>
        <w:t xml:space="preserve">. </w:t>
      </w:r>
      <w:r w:rsidR="002E1840" w:rsidRPr="00191F4B">
        <w:rPr>
          <w:rFonts w:asciiTheme="majorHAnsi" w:hAnsiTheme="majorHAnsi" w:cstheme="majorHAnsi"/>
        </w:rPr>
        <w:t xml:space="preserve">že </w:t>
      </w:r>
      <w:r w:rsidR="00EE7B29" w:rsidRPr="00191F4B">
        <w:rPr>
          <w:rFonts w:asciiTheme="majorHAnsi" w:hAnsiTheme="majorHAnsi" w:cstheme="majorHAnsi"/>
        </w:rPr>
        <w:t xml:space="preserve">realizace musí zahrnovat přípojné místo, </w:t>
      </w:r>
      <w:r w:rsidR="002E1840" w:rsidRPr="00191F4B">
        <w:rPr>
          <w:rFonts w:asciiTheme="majorHAnsi" w:hAnsiTheme="majorHAnsi" w:cstheme="majorHAnsi"/>
        </w:rPr>
        <w:t xml:space="preserve">ze kterého bude možné </w:t>
      </w:r>
      <w:r w:rsidR="00EE7B29" w:rsidRPr="00191F4B">
        <w:rPr>
          <w:rFonts w:asciiTheme="majorHAnsi" w:hAnsiTheme="majorHAnsi" w:cstheme="majorHAnsi"/>
        </w:rPr>
        <w:t xml:space="preserve">tyto </w:t>
      </w:r>
      <w:r w:rsidR="002E1840" w:rsidRPr="00191F4B">
        <w:rPr>
          <w:rFonts w:asciiTheme="majorHAnsi" w:hAnsiTheme="majorHAnsi" w:cstheme="majorHAnsi"/>
        </w:rPr>
        <w:t xml:space="preserve">samostatné svazky nebo transportní zásobníky </w:t>
      </w:r>
      <w:r w:rsidR="00EE7B29" w:rsidRPr="00191F4B">
        <w:rPr>
          <w:rFonts w:asciiTheme="majorHAnsi" w:hAnsiTheme="majorHAnsi" w:cstheme="majorHAnsi"/>
        </w:rPr>
        <w:t>plnit. Zadavatel předpokládá</w:t>
      </w:r>
      <w:r w:rsidR="002E1840" w:rsidRPr="00191F4B">
        <w:rPr>
          <w:rFonts w:asciiTheme="majorHAnsi" w:hAnsiTheme="majorHAnsi" w:cstheme="majorHAnsi"/>
        </w:rPr>
        <w:t xml:space="preserve">, že </w:t>
      </w:r>
      <w:r w:rsidR="00EE7B29" w:rsidRPr="00191F4B">
        <w:rPr>
          <w:rFonts w:asciiTheme="majorHAnsi" w:hAnsiTheme="majorHAnsi" w:cstheme="majorHAnsi"/>
        </w:rPr>
        <w:t xml:space="preserve">tímto způsobem </w:t>
      </w:r>
      <w:r w:rsidR="002E1840" w:rsidRPr="00191F4B">
        <w:rPr>
          <w:rFonts w:asciiTheme="majorHAnsi" w:hAnsiTheme="majorHAnsi" w:cstheme="majorHAnsi"/>
        </w:rPr>
        <w:t xml:space="preserve">bude probíhat </w:t>
      </w:r>
      <w:r w:rsidR="00EE7B29" w:rsidRPr="00191F4B">
        <w:rPr>
          <w:rFonts w:asciiTheme="majorHAnsi" w:hAnsiTheme="majorHAnsi" w:cstheme="majorHAnsi"/>
        </w:rPr>
        <w:t>prodej 3. osobám a musí umět takto předané množství vodíku „fakturačně“ změřit či zvážit.</w:t>
      </w:r>
      <w:r w:rsidR="002E1840" w:rsidRPr="00191F4B">
        <w:rPr>
          <w:rFonts w:asciiTheme="majorHAnsi" w:hAnsiTheme="majorHAnsi" w:cstheme="majorHAnsi"/>
        </w:rPr>
        <w:t xml:space="preserve"> </w:t>
      </w:r>
      <w:r w:rsidR="0016147E" w:rsidRPr="00191F4B">
        <w:rPr>
          <w:rFonts w:asciiTheme="majorHAnsi" w:eastAsia="Times New Roman" w:hAnsiTheme="majorHAnsi" w:cstheme="majorHAnsi"/>
        </w:rPr>
        <w:t>Měřidlo musí být schválené jako fakturační od ČMI nebo MID</w:t>
      </w:r>
      <w:r w:rsidR="00316583" w:rsidRPr="00191F4B">
        <w:rPr>
          <w:rFonts w:asciiTheme="majorHAnsi" w:hAnsiTheme="majorHAnsi" w:cstheme="majorHAnsi"/>
        </w:rPr>
        <w:t>.</w:t>
      </w:r>
      <w:r w:rsidR="00EE7B29" w:rsidRPr="00191F4B">
        <w:rPr>
          <w:rFonts w:asciiTheme="majorHAnsi" w:hAnsiTheme="majorHAnsi" w:cstheme="majorHAnsi"/>
        </w:rPr>
        <w:t> </w:t>
      </w:r>
    </w:p>
    <w:p w14:paraId="277AF08A" w14:textId="1400511A" w:rsidR="002E1840" w:rsidRPr="00191F4B" w:rsidRDefault="002E1840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Plnící stanice musí mít </w:t>
      </w:r>
      <w:r w:rsidRPr="00191F4B">
        <w:rPr>
          <w:rFonts w:asciiTheme="majorHAnsi" w:hAnsiTheme="majorHAnsi" w:cstheme="majorHAnsi"/>
          <w:b/>
          <w:bCs/>
        </w:rPr>
        <w:t xml:space="preserve">výdejní kapacitu </w:t>
      </w:r>
      <w:r w:rsidR="00E427BD" w:rsidRPr="00191F4B">
        <w:rPr>
          <w:rFonts w:asciiTheme="majorHAnsi" w:hAnsiTheme="majorHAnsi" w:cstheme="majorHAnsi"/>
          <w:b/>
          <w:bCs/>
        </w:rPr>
        <w:t>50 kg</w:t>
      </w:r>
      <w:r w:rsidR="009160DB" w:rsidRPr="00191F4B">
        <w:rPr>
          <w:rFonts w:asciiTheme="majorHAnsi" w:hAnsiTheme="majorHAnsi" w:cstheme="majorHAnsi"/>
          <w:b/>
          <w:bCs/>
        </w:rPr>
        <w:t>/hodina (tj. 1200</w:t>
      </w:r>
      <w:r w:rsidR="00E427BD" w:rsidRPr="00191F4B">
        <w:rPr>
          <w:rFonts w:asciiTheme="majorHAnsi" w:hAnsiTheme="majorHAnsi" w:cstheme="majorHAnsi"/>
          <w:b/>
          <w:bCs/>
        </w:rPr>
        <w:t xml:space="preserve"> </w:t>
      </w:r>
      <w:r w:rsidR="009160DB" w:rsidRPr="00191F4B">
        <w:rPr>
          <w:rFonts w:asciiTheme="majorHAnsi" w:hAnsiTheme="majorHAnsi" w:cstheme="majorHAnsi"/>
          <w:b/>
          <w:bCs/>
        </w:rPr>
        <w:t>kg/den)</w:t>
      </w:r>
      <w:r w:rsidR="009160DB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pro plnění </w:t>
      </w:r>
      <w:r w:rsidR="009160DB" w:rsidRPr="00191F4B">
        <w:rPr>
          <w:rFonts w:asciiTheme="majorHAnsi" w:hAnsiTheme="majorHAnsi" w:cstheme="majorHAnsi"/>
          <w:b/>
          <w:bCs/>
        </w:rPr>
        <w:t xml:space="preserve">osobních </w:t>
      </w:r>
      <w:r w:rsidRPr="00191F4B">
        <w:rPr>
          <w:rFonts w:asciiTheme="majorHAnsi" w:hAnsiTheme="majorHAnsi" w:cstheme="majorHAnsi"/>
          <w:b/>
          <w:bCs/>
        </w:rPr>
        <w:t xml:space="preserve">vozidel </w:t>
      </w:r>
      <w:r w:rsidR="009160DB" w:rsidRPr="00191F4B">
        <w:rPr>
          <w:rFonts w:asciiTheme="majorHAnsi" w:hAnsiTheme="majorHAnsi" w:cstheme="majorHAnsi"/>
          <w:b/>
          <w:bCs/>
        </w:rPr>
        <w:t>do tlaku 700 bar</w:t>
      </w:r>
      <w:r w:rsidRPr="00191F4B">
        <w:rPr>
          <w:rFonts w:asciiTheme="majorHAnsi" w:hAnsiTheme="majorHAnsi" w:cstheme="majorHAnsi"/>
        </w:rPr>
        <w:t xml:space="preserve"> a/nebo </w:t>
      </w:r>
      <w:r w:rsidR="009160DB" w:rsidRPr="00191F4B">
        <w:rPr>
          <w:rFonts w:asciiTheme="majorHAnsi" w:hAnsiTheme="majorHAnsi" w:cstheme="majorHAnsi"/>
          <w:b/>
          <w:bCs/>
        </w:rPr>
        <w:t>nákladních vozidel a autobusů do tlaku 350 bar</w:t>
      </w:r>
      <w:r w:rsidR="009160DB" w:rsidRPr="00191F4B">
        <w:rPr>
          <w:rFonts w:asciiTheme="majorHAnsi" w:hAnsiTheme="majorHAnsi" w:cstheme="majorHAnsi"/>
        </w:rPr>
        <w:t xml:space="preserve">. Tento parametr musí </w:t>
      </w:r>
      <w:r w:rsidR="002A4066" w:rsidRPr="00191F4B">
        <w:rPr>
          <w:rFonts w:asciiTheme="majorHAnsi" w:hAnsiTheme="majorHAnsi" w:cstheme="majorHAnsi"/>
        </w:rPr>
        <w:t>doložit</w:t>
      </w:r>
      <w:r w:rsidR="009160DB" w:rsidRPr="00191F4B">
        <w:rPr>
          <w:rFonts w:asciiTheme="majorHAnsi" w:hAnsiTheme="majorHAnsi" w:cstheme="majorHAnsi"/>
        </w:rPr>
        <w:t xml:space="preserve"> </w:t>
      </w:r>
      <w:r w:rsidR="002A4066" w:rsidRPr="00191F4B">
        <w:rPr>
          <w:rFonts w:asciiTheme="majorHAnsi" w:hAnsiTheme="majorHAnsi" w:cstheme="majorHAnsi"/>
        </w:rPr>
        <w:t xml:space="preserve">provedenou </w:t>
      </w:r>
      <w:r w:rsidR="009160DB" w:rsidRPr="00191F4B">
        <w:rPr>
          <w:rFonts w:asciiTheme="majorHAnsi" w:hAnsiTheme="majorHAnsi" w:cstheme="majorHAnsi"/>
        </w:rPr>
        <w:t>funkční zkoušk</w:t>
      </w:r>
      <w:r w:rsidR="002A4066" w:rsidRPr="00191F4B">
        <w:rPr>
          <w:rFonts w:asciiTheme="majorHAnsi" w:hAnsiTheme="majorHAnsi" w:cstheme="majorHAnsi"/>
        </w:rPr>
        <w:t>ou.</w:t>
      </w:r>
    </w:p>
    <w:p w14:paraId="052C5DC3" w14:textId="6B3400AD" w:rsidR="006635D2" w:rsidRPr="00191F4B" w:rsidRDefault="006635D2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>Čistota vodíku</w:t>
      </w:r>
      <w:r w:rsidRPr="00191F4B">
        <w:rPr>
          <w:rFonts w:asciiTheme="majorHAnsi" w:hAnsiTheme="majorHAnsi" w:cstheme="majorHAnsi"/>
        </w:rPr>
        <w:t xml:space="preserve"> v průběhu komprese, skladování a plnění nesmí být </w:t>
      </w:r>
      <w:r w:rsidRPr="00191F4B">
        <w:rPr>
          <w:rFonts w:asciiTheme="majorHAnsi" w:hAnsiTheme="majorHAnsi" w:cstheme="majorHAnsi"/>
          <w:b/>
          <w:bCs/>
        </w:rPr>
        <w:t>nižší než 99,999</w:t>
      </w:r>
      <w:r w:rsidR="00E427BD" w:rsidRPr="00191F4B">
        <w:rPr>
          <w:rFonts w:asciiTheme="majorHAnsi" w:hAnsiTheme="majorHAnsi" w:cstheme="majorHAnsi"/>
          <w:b/>
          <w:bCs/>
        </w:rPr>
        <w:t xml:space="preserve"> </w:t>
      </w:r>
      <w:r w:rsidRPr="00191F4B">
        <w:rPr>
          <w:rFonts w:asciiTheme="majorHAnsi" w:hAnsiTheme="majorHAnsi" w:cstheme="majorHAnsi"/>
          <w:b/>
          <w:bCs/>
        </w:rPr>
        <w:t>%</w:t>
      </w:r>
      <w:r w:rsidRPr="00191F4B">
        <w:rPr>
          <w:rFonts w:asciiTheme="majorHAnsi" w:hAnsiTheme="majorHAnsi" w:cstheme="majorHAnsi"/>
        </w:rPr>
        <w:t xml:space="preserve"> (také označováno jako 5.0). </w:t>
      </w:r>
    </w:p>
    <w:p w14:paraId="0BAB0661" w14:textId="36FC00E6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Storage a kompresor(y) včetně logiky přepínání tras musí umožnit a realizovat efektivní ukládání vodíku</w:t>
      </w:r>
      <w:r w:rsidR="002A4066" w:rsidRPr="00191F4B">
        <w:rPr>
          <w:rFonts w:asciiTheme="majorHAnsi" w:hAnsiTheme="majorHAnsi" w:cstheme="majorHAnsi"/>
        </w:rPr>
        <w:t xml:space="preserve">. </w:t>
      </w:r>
      <w:r w:rsidRPr="00191F4B">
        <w:rPr>
          <w:rFonts w:asciiTheme="majorHAnsi" w:hAnsiTheme="majorHAnsi" w:cstheme="majorHAnsi"/>
        </w:rPr>
        <w:t xml:space="preserve"> </w:t>
      </w:r>
      <w:r w:rsidR="002A4066" w:rsidRPr="00191F4B">
        <w:rPr>
          <w:rFonts w:asciiTheme="majorHAnsi" w:hAnsiTheme="majorHAnsi" w:cstheme="majorHAnsi"/>
          <w:b/>
          <w:bCs/>
        </w:rPr>
        <w:t>Vstupní tlak pro kompresi a ukládání vodíku</w:t>
      </w:r>
      <w:r w:rsidR="002A4066" w:rsidRPr="00191F4B">
        <w:rPr>
          <w:rFonts w:asciiTheme="majorHAnsi" w:hAnsiTheme="majorHAnsi" w:cstheme="majorHAnsi"/>
        </w:rPr>
        <w:t xml:space="preserve"> </w:t>
      </w:r>
      <w:r w:rsidR="004C50C1" w:rsidRPr="00191F4B">
        <w:rPr>
          <w:rFonts w:asciiTheme="majorHAnsi" w:hAnsiTheme="majorHAnsi" w:cstheme="majorHAnsi"/>
        </w:rPr>
        <w:t xml:space="preserve">musí být </w:t>
      </w:r>
      <w:r w:rsidR="002A4066" w:rsidRPr="00191F4B">
        <w:rPr>
          <w:rFonts w:asciiTheme="majorHAnsi" w:hAnsiTheme="majorHAnsi" w:cstheme="majorHAnsi"/>
        </w:rPr>
        <w:t>v </w:t>
      </w:r>
      <w:r w:rsidR="002A4066" w:rsidRPr="00191F4B">
        <w:rPr>
          <w:rFonts w:asciiTheme="majorHAnsi" w:hAnsiTheme="majorHAnsi" w:cstheme="majorHAnsi"/>
          <w:b/>
          <w:bCs/>
        </w:rPr>
        <w:t>rozmezí 20-40</w:t>
      </w:r>
      <w:r w:rsidR="00E427BD" w:rsidRPr="00191F4B">
        <w:rPr>
          <w:rFonts w:asciiTheme="majorHAnsi" w:hAnsiTheme="majorHAnsi" w:cstheme="majorHAnsi"/>
          <w:b/>
          <w:bCs/>
        </w:rPr>
        <w:t xml:space="preserve"> </w:t>
      </w:r>
      <w:r w:rsidR="002A4066" w:rsidRPr="00191F4B">
        <w:rPr>
          <w:rFonts w:asciiTheme="majorHAnsi" w:hAnsiTheme="majorHAnsi" w:cstheme="majorHAnsi"/>
          <w:b/>
          <w:bCs/>
        </w:rPr>
        <w:t>bar</w:t>
      </w:r>
      <w:r w:rsidR="002A4066" w:rsidRPr="00191F4B">
        <w:rPr>
          <w:rFonts w:asciiTheme="majorHAnsi" w:hAnsiTheme="majorHAnsi" w:cstheme="majorHAnsi"/>
        </w:rPr>
        <w:t>, přičemž</w:t>
      </w:r>
      <w:r w:rsidR="002A4066" w:rsidRPr="00191F4B">
        <w:rPr>
          <w:rFonts w:asciiTheme="majorHAnsi" w:hAnsiTheme="majorHAnsi" w:cstheme="majorHAnsi"/>
          <w:b/>
          <w:bCs/>
        </w:rPr>
        <w:t xml:space="preserve"> kompresní kapacita musí být minimálně 5</w:t>
      </w:r>
      <w:r w:rsidR="00E427BD" w:rsidRPr="00191F4B">
        <w:rPr>
          <w:rFonts w:asciiTheme="majorHAnsi" w:hAnsiTheme="majorHAnsi" w:cstheme="majorHAnsi"/>
          <w:b/>
          <w:bCs/>
        </w:rPr>
        <w:t xml:space="preserve"> </w:t>
      </w:r>
      <w:r w:rsidR="002A4066" w:rsidRPr="00191F4B">
        <w:rPr>
          <w:rFonts w:asciiTheme="majorHAnsi" w:hAnsiTheme="majorHAnsi" w:cstheme="majorHAnsi"/>
          <w:b/>
          <w:bCs/>
        </w:rPr>
        <w:t>kg/hodina (tj. 120</w:t>
      </w:r>
      <w:r w:rsidR="00E427BD" w:rsidRPr="00191F4B">
        <w:rPr>
          <w:rFonts w:asciiTheme="majorHAnsi" w:hAnsiTheme="majorHAnsi" w:cstheme="majorHAnsi"/>
          <w:b/>
          <w:bCs/>
        </w:rPr>
        <w:t xml:space="preserve"> </w:t>
      </w:r>
      <w:r w:rsidR="002A4066" w:rsidRPr="00191F4B">
        <w:rPr>
          <w:rFonts w:asciiTheme="majorHAnsi" w:hAnsiTheme="majorHAnsi" w:cstheme="majorHAnsi"/>
          <w:b/>
          <w:bCs/>
        </w:rPr>
        <w:t>kg/den)</w:t>
      </w:r>
      <w:r w:rsidR="002A4066" w:rsidRPr="00191F4B">
        <w:rPr>
          <w:rFonts w:asciiTheme="majorHAnsi" w:hAnsiTheme="majorHAnsi" w:cstheme="majorHAnsi"/>
        </w:rPr>
        <w:t>.</w:t>
      </w:r>
      <w:r w:rsidRPr="00191F4B">
        <w:rPr>
          <w:rFonts w:asciiTheme="majorHAnsi" w:hAnsiTheme="majorHAnsi" w:cstheme="majorHAnsi"/>
        </w:rPr>
        <w:t> </w:t>
      </w:r>
    </w:p>
    <w:p w14:paraId="2304079C" w14:textId="7CBB3B36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lastRenderedPageBreak/>
        <w:t xml:space="preserve">Součástí plničky bude „fakturační“ a platební systém (karta/hotovost), který bude umět od sebe </w:t>
      </w:r>
      <w:r w:rsidRPr="00191F4B">
        <w:rPr>
          <w:rFonts w:asciiTheme="majorHAnsi" w:hAnsiTheme="majorHAnsi" w:cstheme="majorHAnsi"/>
          <w:b/>
          <w:bCs/>
        </w:rPr>
        <w:t>odlišit plnění nákladního nebo osobního vozidla</w:t>
      </w:r>
      <w:r w:rsidRPr="00191F4B">
        <w:rPr>
          <w:rFonts w:asciiTheme="majorHAnsi" w:hAnsiTheme="majorHAnsi" w:cstheme="majorHAnsi"/>
        </w:rPr>
        <w:t xml:space="preserve"> a tím rovněž dvě různé sazby za H2. Třetí a čtvrtou sazbu za H2 je potřeba počítat při </w:t>
      </w:r>
      <w:r w:rsidRPr="00191F4B">
        <w:rPr>
          <w:rFonts w:asciiTheme="majorHAnsi" w:hAnsiTheme="majorHAnsi" w:cstheme="majorHAnsi"/>
          <w:b/>
          <w:bCs/>
        </w:rPr>
        <w:t>plnění kontejnerů nebo trailerů</w:t>
      </w:r>
      <w:r w:rsidRPr="00191F4B">
        <w:rPr>
          <w:rFonts w:asciiTheme="majorHAnsi" w:hAnsiTheme="majorHAnsi" w:cstheme="majorHAnsi"/>
        </w:rPr>
        <w:t>. </w:t>
      </w:r>
    </w:p>
    <w:p w14:paraId="05F55E64" w14:textId="35DB87A5" w:rsidR="00EE7B29" w:rsidRPr="00191F4B" w:rsidRDefault="00361D9A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</w:t>
      </w:r>
      <w:r w:rsidR="00EE7B29" w:rsidRPr="00191F4B">
        <w:rPr>
          <w:rFonts w:asciiTheme="majorHAnsi" w:hAnsiTheme="majorHAnsi" w:cstheme="majorHAnsi"/>
        </w:rPr>
        <w:t xml:space="preserve">lnička musí obsahovat </w:t>
      </w:r>
      <w:r w:rsidR="00EE7B29" w:rsidRPr="00191F4B">
        <w:rPr>
          <w:rFonts w:asciiTheme="majorHAnsi" w:hAnsiTheme="majorHAnsi" w:cstheme="majorHAnsi"/>
          <w:b/>
          <w:bCs/>
        </w:rPr>
        <w:t>„fakturační měřidla“</w:t>
      </w:r>
      <w:r w:rsidR="00EE7B29" w:rsidRPr="00191F4B">
        <w:rPr>
          <w:rFonts w:asciiTheme="majorHAnsi" w:hAnsiTheme="majorHAnsi" w:cstheme="majorHAnsi"/>
        </w:rPr>
        <w:t>, která podléhají pravidelnému ověření (</w:t>
      </w:r>
      <w:r w:rsidR="00CA6FCB" w:rsidRPr="00191F4B">
        <w:rPr>
          <w:rFonts w:asciiTheme="majorHAnsi" w:hAnsiTheme="majorHAnsi" w:cstheme="majorHAnsi"/>
        </w:rPr>
        <w:t xml:space="preserve">Zákon č. 505/1990 Sb., zákon o metrologii </w:t>
      </w:r>
      <w:r w:rsidR="00EE7B29" w:rsidRPr="00191F4B">
        <w:rPr>
          <w:rFonts w:asciiTheme="majorHAnsi" w:hAnsiTheme="majorHAnsi" w:cstheme="majorHAnsi"/>
        </w:rPr>
        <w:t>a související). Tato měřidla se týkají plnění osobních vozů, plnění nákladních vozů/</w:t>
      </w:r>
      <w:r w:rsidRPr="00191F4B">
        <w:rPr>
          <w:rFonts w:asciiTheme="majorHAnsi" w:hAnsiTheme="majorHAnsi" w:cstheme="majorHAnsi"/>
        </w:rPr>
        <w:t>auto</w:t>
      </w:r>
      <w:r w:rsidR="00EE7B29" w:rsidRPr="00191F4B">
        <w:rPr>
          <w:rFonts w:asciiTheme="majorHAnsi" w:hAnsiTheme="majorHAnsi" w:cstheme="majorHAnsi"/>
        </w:rPr>
        <w:t>busů, plnění kontejnerů, plnění trailerů. </w:t>
      </w:r>
    </w:p>
    <w:p w14:paraId="04752634" w14:textId="7BFDD6DA" w:rsidR="00EE7B29" w:rsidRPr="00191F4B" w:rsidRDefault="00361D9A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Zadavatel </w:t>
      </w:r>
      <w:r w:rsidR="00EE7B29" w:rsidRPr="00191F4B">
        <w:rPr>
          <w:rFonts w:asciiTheme="majorHAnsi" w:hAnsiTheme="majorHAnsi" w:cstheme="majorHAnsi"/>
        </w:rPr>
        <w:t>předpokládá užití těchto provozních tlaků a celkových objemů tlakových lahví (nepovinné): </w:t>
      </w:r>
    </w:p>
    <w:p w14:paraId="1D47531D" w14:textId="52706397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100 bar </w:t>
      </w:r>
      <w:r w:rsidR="005E594D" w:rsidRPr="00191F4B">
        <w:rPr>
          <w:rFonts w:asciiTheme="majorHAnsi" w:hAnsiTheme="majorHAnsi" w:cstheme="majorHAnsi"/>
        </w:rPr>
        <w:t xml:space="preserve">640 litrů </w:t>
      </w:r>
      <w:r w:rsidRPr="00191F4B">
        <w:rPr>
          <w:rFonts w:asciiTheme="majorHAnsi" w:hAnsiTheme="majorHAnsi" w:cstheme="majorHAnsi"/>
        </w:rPr>
        <w:t>buffer pro H2 z elektrolyzéru</w:t>
      </w:r>
    </w:p>
    <w:p w14:paraId="544C382E" w14:textId="3CA97691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300 bar </w:t>
      </w:r>
      <w:r w:rsidR="00355956" w:rsidRPr="00191F4B">
        <w:rPr>
          <w:rFonts w:asciiTheme="majorHAnsi" w:hAnsiTheme="majorHAnsi" w:cstheme="majorHAnsi"/>
        </w:rPr>
        <w:t>standardní skladovací tlak</w:t>
      </w:r>
      <w:r w:rsidRPr="00191F4B">
        <w:rPr>
          <w:rFonts w:asciiTheme="majorHAnsi" w:hAnsiTheme="majorHAnsi" w:cstheme="majorHAnsi"/>
        </w:rPr>
        <w:t> </w:t>
      </w:r>
    </w:p>
    <w:p w14:paraId="0B1422D7" w14:textId="3CB1B92B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500 bar </w:t>
      </w:r>
      <w:r w:rsidR="00355956" w:rsidRPr="00191F4B">
        <w:rPr>
          <w:rFonts w:asciiTheme="majorHAnsi" w:hAnsiTheme="majorHAnsi" w:cstheme="majorHAnsi"/>
        </w:rPr>
        <w:t>buffer pro plnící tlak 350</w:t>
      </w:r>
      <w:r w:rsidR="00E427BD" w:rsidRPr="00191F4B">
        <w:rPr>
          <w:rFonts w:asciiTheme="majorHAnsi" w:hAnsiTheme="majorHAnsi" w:cstheme="majorHAnsi"/>
        </w:rPr>
        <w:t xml:space="preserve"> </w:t>
      </w:r>
      <w:r w:rsidR="00355956" w:rsidRPr="00191F4B">
        <w:rPr>
          <w:rFonts w:asciiTheme="majorHAnsi" w:hAnsiTheme="majorHAnsi" w:cstheme="majorHAnsi"/>
        </w:rPr>
        <w:t>bar</w:t>
      </w:r>
      <w:r w:rsidRPr="00191F4B">
        <w:rPr>
          <w:rFonts w:asciiTheme="majorHAnsi" w:hAnsiTheme="majorHAnsi" w:cstheme="majorHAnsi"/>
        </w:rPr>
        <w:t> </w:t>
      </w:r>
    </w:p>
    <w:p w14:paraId="1E895BB0" w14:textId="5D7E1E86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1000 bar / </w:t>
      </w:r>
      <w:r w:rsidR="00355956" w:rsidRPr="00191F4B">
        <w:rPr>
          <w:rFonts w:asciiTheme="majorHAnsi" w:hAnsiTheme="majorHAnsi" w:cstheme="majorHAnsi"/>
        </w:rPr>
        <w:t>buffer pro plnící tlak 700bar</w:t>
      </w:r>
    </w:p>
    <w:p w14:paraId="168F30A7" w14:textId="1F74BE4C" w:rsidR="00EE7B29" w:rsidRPr="00191F4B" w:rsidRDefault="005E594D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</w:t>
      </w:r>
      <w:r w:rsidR="00EE7B29" w:rsidRPr="00191F4B">
        <w:rPr>
          <w:rFonts w:asciiTheme="majorHAnsi" w:hAnsiTheme="majorHAnsi" w:cstheme="majorHAnsi"/>
        </w:rPr>
        <w:t xml:space="preserve">rovedení a tlaky </w:t>
      </w:r>
      <w:r w:rsidR="00361D9A" w:rsidRPr="00191F4B">
        <w:rPr>
          <w:rFonts w:asciiTheme="majorHAnsi" w:hAnsiTheme="majorHAnsi" w:cstheme="majorHAnsi"/>
        </w:rPr>
        <w:t xml:space="preserve">zadavatel </w:t>
      </w:r>
      <w:r w:rsidR="00EE7B29" w:rsidRPr="00191F4B">
        <w:rPr>
          <w:rFonts w:asciiTheme="majorHAnsi" w:hAnsiTheme="majorHAnsi" w:cstheme="majorHAnsi"/>
        </w:rPr>
        <w:t xml:space="preserve">uvádí pouze pro informaci, konkrétní řešení navrhne dodavatel. </w:t>
      </w:r>
      <w:r w:rsidR="00361D9A" w:rsidRPr="00191F4B">
        <w:rPr>
          <w:rFonts w:asciiTheme="majorHAnsi" w:hAnsiTheme="majorHAnsi" w:cstheme="majorHAnsi"/>
        </w:rPr>
        <w:t xml:space="preserve">Zadavatel pouze </w:t>
      </w:r>
      <w:r w:rsidR="00361D9A" w:rsidRPr="00191F4B">
        <w:rPr>
          <w:rFonts w:asciiTheme="majorHAnsi" w:hAnsiTheme="majorHAnsi" w:cstheme="majorHAnsi"/>
          <w:b/>
          <w:bCs/>
        </w:rPr>
        <w:t xml:space="preserve">trvá </w:t>
      </w:r>
      <w:r w:rsidR="00EE7B29" w:rsidRPr="00191F4B">
        <w:rPr>
          <w:rFonts w:asciiTheme="majorHAnsi" w:hAnsiTheme="majorHAnsi" w:cstheme="majorHAnsi"/>
          <w:b/>
          <w:bCs/>
        </w:rPr>
        <w:t>na použití bufferu 100 bar/640</w:t>
      </w:r>
      <w:r w:rsidR="008E5E67" w:rsidRPr="00191F4B">
        <w:rPr>
          <w:rFonts w:asciiTheme="majorHAnsi" w:hAnsiTheme="majorHAnsi" w:cstheme="majorHAnsi"/>
          <w:b/>
          <w:bCs/>
        </w:rPr>
        <w:t xml:space="preserve"> </w:t>
      </w:r>
      <w:r w:rsidR="00EE7B29" w:rsidRPr="00191F4B">
        <w:rPr>
          <w:rFonts w:asciiTheme="majorHAnsi" w:hAnsiTheme="majorHAnsi" w:cstheme="majorHAnsi"/>
          <w:b/>
          <w:bCs/>
        </w:rPr>
        <w:t>L pro elektrolyzér</w:t>
      </w:r>
      <w:r w:rsidR="00EE7B29" w:rsidRPr="00191F4B">
        <w:rPr>
          <w:rFonts w:asciiTheme="majorHAnsi" w:hAnsiTheme="majorHAnsi" w:cstheme="majorHAnsi"/>
        </w:rPr>
        <w:t>. </w:t>
      </w:r>
    </w:p>
    <w:p w14:paraId="0E4A359C" w14:textId="77777777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 </w:t>
      </w:r>
    </w:p>
    <w:p w14:paraId="4FF76B53" w14:textId="5CB533B6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Kompresor(y) musí umožnit </w:t>
      </w:r>
      <w:r w:rsidRPr="00191F4B">
        <w:rPr>
          <w:rFonts w:asciiTheme="majorHAnsi" w:hAnsiTheme="majorHAnsi" w:cstheme="majorHAnsi"/>
          <w:b/>
          <w:bCs/>
        </w:rPr>
        <w:t>efektivní doplňování jednotlivých úložišť</w:t>
      </w:r>
      <w:r w:rsidRPr="00191F4B">
        <w:rPr>
          <w:rFonts w:asciiTheme="majorHAnsi" w:hAnsiTheme="majorHAnsi" w:cstheme="majorHAnsi"/>
        </w:rPr>
        <w:t xml:space="preserve"> (s odlišnými provozními tlaky) tak, aby bylo možné </w:t>
      </w:r>
      <w:r w:rsidR="005E594D" w:rsidRPr="00191F4B">
        <w:rPr>
          <w:rFonts w:asciiTheme="majorHAnsi" w:hAnsiTheme="majorHAnsi" w:cstheme="majorHAnsi"/>
        </w:rPr>
        <w:t xml:space="preserve">za co nejnižších nákladů </w:t>
      </w:r>
      <w:r w:rsidR="005E594D" w:rsidRPr="00191F4B">
        <w:rPr>
          <w:rFonts w:asciiTheme="majorHAnsi" w:hAnsiTheme="majorHAnsi" w:cstheme="majorHAnsi"/>
          <w:b/>
          <w:bCs/>
        </w:rPr>
        <w:t>splnit podmínku výdejní kapacity 50</w:t>
      </w:r>
      <w:r w:rsidR="005E7177" w:rsidRPr="00191F4B">
        <w:rPr>
          <w:rFonts w:asciiTheme="majorHAnsi" w:hAnsiTheme="majorHAnsi" w:cstheme="majorHAnsi"/>
          <w:b/>
          <w:bCs/>
        </w:rPr>
        <w:t xml:space="preserve"> </w:t>
      </w:r>
      <w:r w:rsidR="005E594D" w:rsidRPr="00191F4B">
        <w:rPr>
          <w:rFonts w:asciiTheme="majorHAnsi" w:hAnsiTheme="majorHAnsi" w:cstheme="majorHAnsi"/>
          <w:b/>
          <w:bCs/>
        </w:rPr>
        <w:t>kg/hodina (tj.</w:t>
      </w:r>
      <w:r w:rsidR="008E5E67" w:rsidRPr="00191F4B">
        <w:rPr>
          <w:rFonts w:asciiTheme="majorHAnsi" w:hAnsiTheme="majorHAnsi" w:cstheme="majorHAnsi"/>
          <w:b/>
          <w:bCs/>
        </w:rPr>
        <w:t xml:space="preserve"> </w:t>
      </w:r>
      <w:r w:rsidR="005E594D" w:rsidRPr="00191F4B">
        <w:rPr>
          <w:rFonts w:asciiTheme="majorHAnsi" w:hAnsiTheme="majorHAnsi" w:cstheme="majorHAnsi"/>
          <w:b/>
          <w:bCs/>
        </w:rPr>
        <w:t>1200</w:t>
      </w:r>
      <w:r w:rsidR="005E7177" w:rsidRPr="00191F4B">
        <w:rPr>
          <w:rFonts w:asciiTheme="majorHAnsi" w:hAnsiTheme="majorHAnsi" w:cstheme="majorHAnsi"/>
          <w:b/>
          <w:bCs/>
        </w:rPr>
        <w:t xml:space="preserve"> </w:t>
      </w:r>
      <w:r w:rsidR="005E594D" w:rsidRPr="00191F4B">
        <w:rPr>
          <w:rFonts w:asciiTheme="majorHAnsi" w:hAnsiTheme="majorHAnsi" w:cstheme="majorHAnsi"/>
          <w:b/>
          <w:bCs/>
        </w:rPr>
        <w:t>kg/den)</w:t>
      </w:r>
      <w:r w:rsidR="00D517E1" w:rsidRPr="00191F4B">
        <w:rPr>
          <w:rFonts w:asciiTheme="majorHAnsi" w:hAnsiTheme="majorHAnsi" w:cstheme="majorHAnsi"/>
        </w:rPr>
        <w:t>.</w:t>
      </w:r>
    </w:p>
    <w:p w14:paraId="5E3C21F1" w14:textId="324DCA92" w:rsidR="00EE7B29" w:rsidRPr="00191F4B" w:rsidRDefault="007D4F88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Zadavatel</w:t>
      </w:r>
      <w:r w:rsidR="00EE7B29" w:rsidRPr="00191F4B">
        <w:rPr>
          <w:rFonts w:asciiTheme="majorHAnsi" w:hAnsiTheme="majorHAnsi" w:cstheme="majorHAnsi"/>
        </w:rPr>
        <w:t xml:space="preserve"> disponuje stavebním povolením</w:t>
      </w:r>
      <w:r w:rsidR="00F651D9" w:rsidRPr="00191F4B">
        <w:rPr>
          <w:rFonts w:asciiTheme="majorHAnsi" w:hAnsiTheme="majorHAnsi" w:cstheme="majorHAnsi"/>
        </w:rPr>
        <w:t xml:space="preserve"> (příloha č. </w:t>
      </w:r>
      <w:r w:rsidR="002847A7" w:rsidRPr="00191F4B">
        <w:rPr>
          <w:rFonts w:asciiTheme="majorHAnsi" w:hAnsiTheme="majorHAnsi" w:cstheme="majorHAnsi"/>
        </w:rPr>
        <w:t>5</w:t>
      </w:r>
      <w:r w:rsidR="00074DDF" w:rsidRPr="00191F4B">
        <w:rPr>
          <w:rFonts w:asciiTheme="majorHAnsi" w:hAnsiTheme="majorHAnsi" w:cstheme="majorHAnsi"/>
        </w:rPr>
        <w:t xml:space="preserve"> </w:t>
      </w:r>
      <w:r w:rsidR="00F651D9" w:rsidRPr="00191F4B">
        <w:rPr>
          <w:rFonts w:asciiTheme="majorHAnsi" w:hAnsiTheme="majorHAnsi" w:cstheme="majorHAnsi"/>
        </w:rPr>
        <w:t>zadávací dokumentace)</w:t>
      </w:r>
      <w:r w:rsidR="00EE7B29" w:rsidRPr="00191F4B">
        <w:rPr>
          <w:rFonts w:asciiTheme="majorHAnsi" w:hAnsiTheme="majorHAnsi" w:cstheme="majorHAnsi"/>
        </w:rPr>
        <w:t xml:space="preserve"> k celému řetězci vodíkového hospodářství – výroba H2 elektrolyzérem, napájení z FVE, kompresní stanice, plnička. Dispoziční uspořádání se oproti tomuto dokumentu ještě před dokončením celého </w:t>
      </w:r>
      <w:r w:rsidR="005E594D" w:rsidRPr="00191F4B">
        <w:rPr>
          <w:rFonts w:asciiTheme="majorHAnsi" w:hAnsiTheme="majorHAnsi" w:cstheme="majorHAnsi"/>
        </w:rPr>
        <w:t xml:space="preserve">projektu může </w:t>
      </w:r>
      <w:r w:rsidR="00EE7B29" w:rsidRPr="00191F4B">
        <w:rPr>
          <w:rFonts w:asciiTheme="majorHAnsi" w:hAnsiTheme="majorHAnsi" w:cstheme="majorHAnsi"/>
        </w:rPr>
        <w:t>změn</w:t>
      </w:r>
      <w:r w:rsidR="005E594D" w:rsidRPr="00191F4B">
        <w:rPr>
          <w:rFonts w:asciiTheme="majorHAnsi" w:hAnsiTheme="majorHAnsi" w:cstheme="majorHAnsi"/>
        </w:rPr>
        <w:t>it</w:t>
      </w:r>
      <w:r w:rsidR="00EE7B29" w:rsidRPr="00191F4B">
        <w:rPr>
          <w:rFonts w:asciiTheme="majorHAnsi" w:hAnsiTheme="majorHAnsi" w:cstheme="majorHAnsi"/>
        </w:rPr>
        <w:t xml:space="preserve">. Plnicí stanici požaduje umístit vně objektu, tak aby byl zajištěn volný příjezd pro vozidla třetích stran požadujících plnění vodíkem. Zadavatel ve spolupráci </w:t>
      </w:r>
      <w:r w:rsidR="002847A7" w:rsidRPr="00191F4B">
        <w:rPr>
          <w:rFonts w:asciiTheme="majorHAnsi" w:hAnsiTheme="majorHAnsi" w:cstheme="majorHAnsi"/>
        </w:rPr>
        <w:t>s vybraným</w:t>
      </w:r>
      <w:r w:rsidR="00F35164" w:rsidRPr="00191F4B">
        <w:rPr>
          <w:rFonts w:asciiTheme="majorHAnsi" w:hAnsiTheme="majorHAnsi" w:cstheme="majorHAnsi"/>
        </w:rPr>
        <w:t xml:space="preserve"> dodavatelem</w:t>
      </w:r>
      <w:r w:rsidR="00EE7B29" w:rsidRPr="00191F4B">
        <w:rPr>
          <w:rFonts w:asciiTheme="majorHAnsi" w:hAnsiTheme="majorHAnsi" w:cstheme="majorHAnsi"/>
        </w:rPr>
        <w:t xml:space="preserve"> provede potřebné kroky ke změně stavebního povolení. </w:t>
      </w:r>
    </w:p>
    <w:p w14:paraId="44E566AD" w14:textId="409E1DE4" w:rsidR="00EE7B29" w:rsidRPr="00191F4B" w:rsidRDefault="00EE7B29" w:rsidP="1C8C062B">
      <w:pPr>
        <w:spacing w:line="276" w:lineRule="auto"/>
        <w:jc w:val="both"/>
        <w:rPr>
          <w:rFonts w:asciiTheme="majorHAnsi" w:hAnsiTheme="majorHAnsi" w:cstheme="majorBidi"/>
        </w:rPr>
      </w:pPr>
      <w:r w:rsidRPr="1C8C062B">
        <w:rPr>
          <w:rFonts w:asciiTheme="majorHAnsi" w:hAnsiTheme="majorHAnsi" w:cstheme="majorBidi"/>
        </w:rPr>
        <w:t xml:space="preserve">Pokud dojde k naplnění úložiště vodíku (všechny svazky tlakových lahví úložiště a plničky budou vykazovat nominální tlak, tzn. kapacita uložení H2 </w:t>
      </w:r>
      <w:r w:rsidR="002F6420" w:rsidRPr="1C8C062B">
        <w:rPr>
          <w:rFonts w:asciiTheme="majorHAnsi" w:hAnsiTheme="majorHAnsi" w:cstheme="majorBidi"/>
        </w:rPr>
        <w:t xml:space="preserve">musí činit </w:t>
      </w:r>
      <w:r w:rsidRPr="1C8C062B">
        <w:rPr>
          <w:rFonts w:asciiTheme="majorHAnsi" w:hAnsiTheme="majorHAnsi" w:cstheme="majorBidi"/>
        </w:rPr>
        <w:t>v tomto okamžiku 100</w:t>
      </w:r>
      <w:r w:rsidR="002F6420" w:rsidRPr="1C8C062B">
        <w:rPr>
          <w:rFonts w:asciiTheme="majorHAnsi" w:hAnsiTheme="majorHAnsi" w:cstheme="majorBidi"/>
        </w:rPr>
        <w:t xml:space="preserve"> </w:t>
      </w:r>
      <w:r w:rsidRPr="1C8C062B">
        <w:rPr>
          <w:rFonts w:asciiTheme="majorHAnsi" w:hAnsiTheme="majorHAnsi" w:cstheme="majorBidi"/>
        </w:rPr>
        <w:t>%), systém musí generovat binární (nebo lépe analogový spojitý – údaj o naplněné kapacitě – např. 0/4-20</w:t>
      </w:r>
      <w:r w:rsidR="00452B68" w:rsidRPr="1C8C062B">
        <w:rPr>
          <w:rFonts w:asciiTheme="majorHAnsi" w:hAnsiTheme="majorHAnsi" w:cstheme="majorBidi"/>
        </w:rPr>
        <w:t xml:space="preserve"> </w:t>
      </w:r>
      <w:r w:rsidRPr="1C8C062B">
        <w:rPr>
          <w:rFonts w:asciiTheme="majorHAnsi" w:hAnsiTheme="majorHAnsi" w:cstheme="majorBidi"/>
        </w:rPr>
        <w:t>mA &lt;=&gt; 0</w:t>
      </w:r>
      <w:r w:rsidR="558411F4" w:rsidRPr="1C8C062B">
        <w:rPr>
          <w:rFonts w:asciiTheme="majorHAnsi" w:hAnsiTheme="majorHAnsi" w:cstheme="majorBidi"/>
        </w:rPr>
        <w:t>-</w:t>
      </w:r>
      <w:r w:rsidR="00452B68" w:rsidRPr="00191F4B">
        <w:rPr>
          <w:rFonts w:asciiTheme="majorHAnsi" w:hAnsiTheme="majorHAnsi" w:cstheme="majorHAnsi"/>
        </w:rPr>
        <w:noBreakHyphen/>
      </w:r>
      <w:r w:rsidRPr="1C8C062B">
        <w:rPr>
          <w:rFonts w:asciiTheme="majorHAnsi" w:hAnsiTheme="majorHAnsi" w:cstheme="majorBidi"/>
        </w:rPr>
        <w:t>100</w:t>
      </w:r>
      <w:r w:rsidR="00452B68" w:rsidRPr="1C8C062B">
        <w:rPr>
          <w:rFonts w:asciiTheme="majorHAnsi" w:hAnsiTheme="majorHAnsi" w:cstheme="majorBidi"/>
        </w:rPr>
        <w:t> </w:t>
      </w:r>
      <w:r w:rsidRPr="1C8C062B">
        <w:rPr>
          <w:rFonts w:asciiTheme="majorHAnsi" w:hAnsiTheme="majorHAnsi" w:cstheme="majorBidi"/>
        </w:rPr>
        <w:t xml:space="preserve">% kapacity) řídicí signál (do našeho PLC). </w:t>
      </w:r>
    </w:p>
    <w:p w14:paraId="1BBEE4BA" w14:textId="75B37796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Projekt </w:t>
      </w:r>
      <w:r w:rsidR="006035FE" w:rsidRPr="00191F4B">
        <w:rPr>
          <w:rFonts w:asciiTheme="majorHAnsi" w:hAnsiTheme="majorHAnsi" w:cstheme="majorHAnsi"/>
        </w:rPr>
        <w:t>s</w:t>
      </w:r>
      <w:r w:rsidRPr="00191F4B">
        <w:rPr>
          <w:rFonts w:asciiTheme="majorHAnsi" w:hAnsiTheme="majorHAnsi" w:cstheme="majorHAnsi"/>
        </w:rPr>
        <w:t>tavby</w:t>
      </w:r>
      <w:r w:rsidR="00F651D9" w:rsidRPr="00191F4B">
        <w:rPr>
          <w:rFonts w:asciiTheme="majorHAnsi" w:hAnsiTheme="majorHAnsi" w:cstheme="majorHAnsi"/>
        </w:rPr>
        <w:t xml:space="preserve"> (příloha č. </w:t>
      </w:r>
      <w:r w:rsidR="002847A7" w:rsidRPr="00191F4B">
        <w:rPr>
          <w:rFonts w:asciiTheme="majorHAnsi" w:hAnsiTheme="majorHAnsi" w:cstheme="majorHAnsi"/>
        </w:rPr>
        <w:t>4</w:t>
      </w:r>
      <w:r w:rsidR="003A5D06" w:rsidRPr="00191F4B">
        <w:rPr>
          <w:rFonts w:asciiTheme="majorHAnsi" w:hAnsiTheme="majorHAnsi" w:cstheme="majorHAnsi"/>
        </w:rPr>
        <w:t xml:space="preserve"> </w:t>
      </w:r>
      <w:r w:rsidR="00F651D9" w:rsidRPr="00191F4B">
        <w:rPr>
          <w:rFonts w:asciiTheme="majorHAnsi" w:hAnsiTheme="majorHAnsi" w:cstheme="majorHAnsi"/>
        </w:rPr>
        <w:t>zadávací dokumentace</w:t>
      </w:r>
      <w:r w:rsidR="00CC398E" w:rsidRPr="00191F4B">
        <w:rPr>
          <w:rFonts w:asciiTheme="majorHAnsi" w:hAnsiTheme="majorHAnsi" w:cstheme="majorHAnsi"/>
        </w:rPr>
        <w:t xml:space="preserve"> - DSP</w:t>
      </w:r>
      <w:r w:rsidR="00F651D9" w:rsidRPr="00191F4B">
        <w:rPr>
          <w:rFonts w:asciiTheme="majorHAnsi" w:hAnsiTheme="majorHAnsi" w:cstheme="majorHAnsi"/>
        </w:rPr>
        <w:t>)</w:t>
      </w:r>
      <w:r w:rsidRPr="00191F4B">
        <w:rPr>
          <w:rFonts w:asciiTheme="majorHAnsi" w:hAnsiTheme="majorHAnsi" w:cstheme="majorHAnsi"/>
        </w:rPr>
        <w:t xml:space="preserve"> obsahuje rozvody až k napojovacím místům. V případě, že napojovací místo, nebo</w:t>
      </w:r>
      <w:r w:rsidR="00074DDF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dimenze potrubí či vodiče obsažené v projektu </w:t>
      </w:r>
      <w:r w:rsidR="00FA4541" w:rsidRPr="00191F4B">
        <w:rPr>
          <w:rFonts w:asciiTheme="majorHAnsi" w:hAnsiTheme="majorHAnsi" w:cstheme="majorHAnsi"/>
        </w:rPr>
        <w:t>s</w:t>
      </w:r>
      <w:r w:rsidRPr="00191F4B">
        <w:rPr>
          <w:rFonts w:asciiTheme="majorHAnsi" w:hAnsiTheme="majorHAnsi" w:cstheme="majorHAnsi"/>
        </w:rPr>
        <w:t>tavby neodpovídá požadavkům technologie,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dodavatel vyhotoví, po upřesnění technického řešení se zadavatelem změnový list, který bude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popisovat méně a vícepráce. Dodavatel je povinen ve změnovém listu méně a vícepráce ocenit.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Navýšení, či snížení ceny stavebních prací vůči stávajícímu projektu bude součástí rozpočtu předmětu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soutěženého díla. Dodavatel se v co nejvyšší míře přizpůsobí dokumentaci pro provádění </w:t>
      </w:r>
      <w:r w:rsidR="00725DE7" w:rsidRPr="00191F4B">
        <w:rPr>
          <w:rFonts w:asciiTheme="majorHAnsi" w:hAnsiTheme="majorHAnsi" w:cstheme="majorHAnsi"/>
        </w:rPr>
        <w:t>s</w:t>
      </w:r>
      <w:r w:rsidRPr="00191F4B">
        <w:rPr>
          <w:rFonts w:asciiTheme="majorHAnsi" w:hAnsiTheme="majorHAnsi" w:cstheme="majorHAnsi"/>
        </w:rPr>
        <w:t>tavby.</w:t>
      </w:r>
    </w:p>
    <w:p w14:paraId="05597B35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54D8463E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>Návaznost dodávaných zařízení na další celky</w:t>
      </w:r>
    </w:p>
    <w:p w14:paraId="080B95E3" w14:textId="6FB63650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Součásti podkladů zadávacího řízení je dokumentace pro stavební povolení (</w:t>
      </w:r>
      <w:r w:rsidR="009C64B4" w:rsidRPr="00191F4B">
        <w:rPr>
          <w:rFonts w:asciiTheme="majorHAnsi" w:hAnsiTheme="majorHAnsi" w:cstheme="majorHAnsi"/>
        </w:rPr>
        <w:t>dále jen „</w:t>
      </w:r>
      <w:r w:rsidRPr="00191F4B">
        <w:rPr>
          <w:rFonts w:asciiTheme="majorHAnsi" w:hAnsiTheme="majorHAnsi" w:cstheme="majorHAnsi"/>
        </w:rPr>
        <w:t>DSP</w:t>
      </w:r>
      <w:r w:rsidR="009C64B4" w:rsidRPr="00191F4B">
        <w:rPr>
          <w:rFonts w:asciiTheme="majorHAnsi" w:hAnsiTheme="majorHAnsi" w:cstheme="majorHAnsi"/>
        </w:rPr>
        <w:t>“</w:t>
      </w:r>
      <w:r w:rsidRPr="00191F4B">
        <w:rPr>
          <w:rFonts w:asciiTheme="majorHAnsi" w:hAnsiTheme="majorHAnsi" w:cstheme="majorHAnsi"/>
        </w:rPr>
        <w:t xml:space="preserve">). DSP definuje prostorové možnosti pro umístění technologií a jejich napojení na infrastrukturu objektu. </w:t>
      </w:r>
      <w:r w:rsidRPr="00191F4B">
        <w:rPr>
          <w:rFonts w:asciiTheme="majorHAnsi" w:hAnsiTheme="majorHAnsi" w:cstheme="majorHAnsi"/>
        </w:rPr>
        <w:lastRenderedPageBreak/>
        <w:t>Dodavatel je povinen respektovat požárně-bezpečnostní řešení stavby. To souvisí zejména s definovanými parametry technologií a systémem zálohování energii pro technologie v režimu Total stop/Central stop. V případě odchylky od parametrů schválených v PBŘ je dodavatel povinen zajistit v rámci projektové dokumentace technologií souhlasné stanovisko HZS ZLK, KHS ZLK</w:t>
      </w:r>
    </w:p>
    <w:p w14:paraId="3F81E561" w14:textId="0FC5FC6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Pokud se dodavatel odchýlí od parametrů daných </w:t>
      </w:r>
      <w:r w:rsidR="008A5046" w:rsidRPr="00191F4B">
        <w:rPr>
          <w:rFonts w:asciiTheme="majorHAnsi" w:hAnsiTheme="majorHAnsi" w:cstheme="majorHAnsi"/>
        </w:rPr>
        <w:t xml:space="preserve">DSP </w:t>
      </w:r>
      <w:r w:rsidRPr="00191F4B">
        <w:rPr>
          <w:rFonts w:asciiTheme="majorHAnsi" w:hAnsiTheme="majorHAnsi" w:cstheme="majorHAnsi"/>
        </w:rPr>
        <w:t>a to tak, že dojde k navýšení hluku a/nebo emisi, případně ke zvýšení množství skladovaných nebezpečných látek, provede posouzení z hlediska vlivu na životní prostředí a v případě potřeby zajistí nové stanovisko KU ZLK z hlediska ochrany životního prostředí.</w:t>
      </w:r>
      <w:r w:rsidR="00E427BD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Vybraný dodavatel bude ve fázi zpracování projektu povinen konzultovat projekt s vybranými zástupci zadavatele zejména z hlediska požadavků na kompatibilitu komunikačních rozhraní technologických celků.</w:t>
      </w:r>
    </w:p>
    <w:p w14:paraId="754991C0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226978F3" w14:textId="0292A6C4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Specifikace dodávky vodíkové plnicí stanice (</w:t>
      </w:r>
      <w:r w:rsidR="006F2974" w:rsidRPr="00191F4B">
        <w:rPr>
          <w:rFonts w:asciiTheme="majorHAnsi" w:hAnsiTheme="majorHAnsi" w:cstheme="majorHAnsi"/>
          <w:b/>
          <w:bCs/>
        </w:rPr>
        <w:t>dále jen „</w:t>
      </w:r>
      <w:r w:rsidRPr="00191F4B">
        <w:rPr>
          <w:rFonts w:asciiTheme="majorHAnsi" w:hAnsiTheme="majorHAnsi" w:cstheme="majorHAnsi"/>
          <w:b/>
          <w:bCs/>
        </w:rPr>
        <w:t>PS</w:t>
      </w:r>
      <w:r w:rsidR="006F2974" w:rsidRPr="00191F4B">
        <w:rPr>
          <w:rFonts w:asciiTheme="majorHAnsi" w:hAnsiTheme="majorHAnsi" w:cstheme="majorHAnsi"/>
          <w:b/>
          <w:bCs/>
        </w:rPr>
        <w:t>“</w:t>
      </w:r>
      <w:r w:rsidRPr="00191F4B">
        <w:rPr>
          <w:rFonts w:asciiTheme="majorHAnsi" w:hAnsiTheme="majorHAnsi" w:cstheme="majorHAnsi"/>
          <w:b/>
          <w:bCs/>
        </w:rPr>
        <w:t>)</w:t>
      </w:r>
    </w:p>
    <w:p w14:paraId="4351C20B" w14:textId="6DC57323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Všeobecné údaje o dodávce</w:t>
      </w:r>
    </w:p>
    <w:p w14:paraId="328DE994" w14:textId="2ECB7AEF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PS bude určena primárně pro plnění plynného vodíku do osobních vozidel, nákladních vozidel a do transportních zařízení (trailer, mobilní svazky tlakových lahví. Zároveň bude technologická výbava PS využita pro jímání/akumulaci vodíku z provozovaného </w:t>
      </w:r>
      <w:r w:rsidR="00E427BD" w:rsidRPr="00191F4B">
        <w:rPr>
          <w:rFonts w:asciiTheme="majorHAnsi" w:hAnsiTheme="majorHAnsi" w:cstheme="majorHAnsi"/>
        </w:rPr>
        <w:t>elektrolyzéru</w:t>
      </w:r>
      <w:r w:rsidRPr="00191F4B">
        <w:rPr>
          <w:rFonts w:asciiTheme="majorHAnsi" w:hAnsiTheme="majorHAnsi" w:cstheme="majorHAnsi"/>
        </w:rPr>
        <w:t xml:space="preserve"> a pro efektivní uložení vodíku v tlakových nádobách. Technologická výbava PS bude tedy jedinečným systémem, zajišťujícím efektivní využití vodíku a zároveň také efektivní sdílené využití instalovaných technologických prvků mezi PS a elektrolyzérem.</w:t>
      </w:r>
    </w:p>
    <w:p w14:paraId="0946947B" w14:textId="1F7CDCE6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Základní údaje o technologickém zařízení PS</w:t>
      </w:r>
    </w:p>
    <w:p w14:paraId="73BAF19F" w14:textId="7FA83930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Technologická výbava plnící stanice musí splnit následující základní požadavky zadavatele:</w:t>
      </w:r>
    </w:p>
    <w:p w14:paraId="65D450C7" w14:textId="77777777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- Typ PS: Kontejnerové řešení případně jiná prostorová dispozice dle použité technologie PS, technické řešení musí respektovat platnou legislativu a musí být v souladu s prostorovými možnostmi stavebního prostoru.</w:t>
      </w:r>
    </w:p>
    <w:p w14:paraId="350D914C" w14:textId="3970BF87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- Určení PS: Komerční využiti (plnění minimálně 50 kg vodíku za hodinu), vč. obchodního měření, fakturačního a platebního systému</w:t>
      </w:r>
      <w:r w:rsidR="001F626F" w:rsidRPr="00191F4B">
        <w:rPr>
          <w:rFonts w:asciiTheme="majorHAnsi" w:hAnsiTheme="majorHAnsi" w:cstheme="majorHAnsi"/>
        </w:rPr>
        <w:t>.</w:t>
      </w:r>
      <w:r w:rsidRPr="00191F4B">
        <w:rPr>
          <w:rFonts w:asciiTheme="majorHAnsi" w:hAnsiTheme="majorHAnsi" w:cstheme="majorHAnsi"/>
        </w:rPr>
        <w:br/>
        <w:t>- Typ Vozidla: Homologované i bez homologace</w:t>
      </w:r>
      <w:r w:rsidR="001F626F" w:rsidRPr="00191F4B">
        <w:rPr>
          <w:rFonts w:asciiTheme="majorHAnsi" w:hAnsiTheme="majorHAnsi" w:cstheme="majorHAnsi"/>
        </w:rPr>
        <w:t>.</w:t>
      </w:r>
      <w:r w:rsidRPr="00191F4B">
        <w:rPr>
          <w:rFonts w:asciiTheme="majorHAnsi" w:hAnsiTheme="majorHAnsi" w:cstheme="majorHAnsi"/>
        </w:rPr>
        <w:br/>
        <w:t>- Umístění: V areálu centrály skupiny Solar Global vně hlavní budovy (ve vzdálenosti 8 m od ní) spolu s plnícím stojanem</w:t>
      </w:r>
      <w:r w:rsidR="001F626F" w:rsidRPr="00191F4B">
        <w:rPr>
          <w:rFonts w:asciiTheme="majorHAnsi" w:hAnsiTheme="majorHAnsi" w:cstheme="majorHAnsi"/>
        </w:rPr>
        <w:t>.</w:t>
      </w:r>
      <w:r w:rsidRPr="00191F4B">
        <w:rPr>
          <w:rFonts w:asciiTheme="majorHAnsi" w:hAnsiTheme="majorHAnsi" w:cstheme="majorHAnsi"/>
        </w:rPr>
        <w:br/>
      </w:r>
    </w:p>
    <w:p w14:paraId="648BD684" w14:textId="0885CC9B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 xml:space="preserve">Technická specifikace </w:t>
      </w:r>
      <w:r w:rsidR="001F626F" w:rsidRPr="00191F4B">
        <w:rPr>
          <w:rFonts w:asciiTheme="majorHAnsi" w:hAnsiTheme="majorHAnsi" w:cstheme="majorHAnsi"/>
          <w:b/>
          <w:bCs/>
        </w:rPr>
        <w:t>PS</w:t>
      </w:r>
    </w:p>
    <w:p w14:paraId="63B171D9" w14:textId="0FFD1D11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Základy, zastřešení, kabelový most, opláštění, pevněné plochy, venkovní osvětlení, informační plochy, tak jako i kanalizace, přívodní kabelová trasa a další prvky stavební připravenosti pro plnící stanici a ostatní související technologii jsou předmětem dodávky zhotovitele.</w:t>
      </w:r>
    </w:p>
    <w:p w14:paraId="2BDC5AE9" w14:textId="3980428C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 xml:space="preserve">Základní požadavky na provedení </w:t>
      </w:r>
      <w:r w:rsidR="00E427BD" w:rsidRPr="00191F4B">
        <w:rPr>
          <w:rFonts w:asciiTheme="majorHAnsi" w:hAnsiTheme="majorHAnsi" w:cstheme="majorHAnsi"/>
          <w:b/>
          <w:bCs/>
        </w:rPr>
        <w:t>technologických</w:t>
      </w:r>
      <w:r w:rsidRPr="00191F4B">
        <w:rPr>
          <w:rFonts w:asciiTheme="majorHAnsi" w:hAnsiTheme="majorHAnsi" w:cstheme="majorHAnsi"/>
          <w:b/>
          <w:bCs/>
        </w:rPr>
        <w:t xml:space="preserve"> </w:t>
      </w:r>
      <w:r w:rsidR="002847A7" w:rsidRPr="00191F4B">
        <w:rPr>
          <w:rFonts w:asciiTheme="majorHAnsi" w:hAnsiTheme="majorHAnsi" w:cstheme="majorHAnsi"/>
          <w:b/>
          <w:bCs/>
        </w:rPr>
        <w:t>zařízení PS</w:t>
      </w:r>
    </w:p>
    <w:p w14:paraId="05F8F05C" w14:textId="2366542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Provedení technologické výbavy musí být v souladu s </w:t>
      </w:r>
      <w:r w:rsidR="00183B34" w:rsidRPr="00191F4B">
        <w:rPr>
          <w:rFonts w:asciiTheme="majorHAnsi" w:hAnsiTheme="majorHAnsi" w:cstheme="majorHAnsi"/>
        </w:rPr>
        <w:t xml:space="preserve">DSP </w:t>
      </w:r>
      <w:r w:rsidRPr="00191F4B">
        <w:rPr>
          <w:rFonts w:asciiTheme="majorHAnsi" w:hAnsiTheme="majorHAnsi" w:cstheme="majorHAnsi"/>
        </w:rPr>
        <w:t>a platnou</w:t>
      </w:r>
      <w:r w:rsidR="00E427BD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legislativou, zejména pak s relevantními ustanoveními TPG 304 03, ČSN 07 8304 ČSN EN 13</w:t>
      </w:r>
      <w:r w:rsidR="00CA0C4C">
        <w:rPr>
          <w:rFonts w:asciiTheme="majorHAnsi" w:hAnsiTheme="majorHAnsi" w:cstheme="majorHAnsi"/>
        </w:rPr>
        <w:t> </w:t>
      </w:r>
      <w:r w:rsidRPr="00191F4B">
        <w:rPr>
          <w:rFonts w:asciiTheme="majorHAnsi" w:hAnsiTheme="majorHAnsi" w:cstheme="majorHAnsi"/>
        </w:rPr>
        <w:t>480</w:t>
      </w:r>
      <w:r w:rsidR="00CA0C4C">
        <w:rPr>
          <w:rFonts w:asciiTheme="majorHAnsi" w:hAnsiTheme="majorHAnsi" w:cstheme="majorHAnsi"/>
        </w:rPr>
        <w:t xml:space="preserve"> </w:t>
      </w:r>
      <w:r w:rsidR="00CA0C4C" w:rsidRPr="00CA0C4C">
        <w:rPr>
          <w:rFonts w:asciiTheme="majorHAnsi" w:hAnsiTheme="majorHAnsi" w:cstheme="majorHAnsi"/>
          <w:i/>
          <w:iCs/>
          <w:sz w:val="20"/>
          <w:szCs w:val="20"/>
        </w:rPr>
        <w:t>(zadavatel v souladu s § 90 odst. 3 ZZVZ umožňuje nabídnout rovnocenné řešení)</w:t>
      </w:r>
      <w:r w:rsidR="00CA0C4C">
        <w:rPr>
          <w:rFonts w:asciiTheme="majorHAnsi" w:hAnsiTheme="majorHAnsi" w:cstheme="majorHAnsi"/>
        </w:rPr>
        <w:t>.</w:t>
      </w:r>
    </w:p>
    <w:p w14:paraId="3A29B464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Bezpečnostní prvky systému musí mít odpovídající certifikace v souladu s platnou legislativou.</w:t>
      </w:r>
    </w:p>
    <w:p w14:paraId="564E7886" w14:textId="1006FE53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lastRenderedPageBreak/>
        <w:t>Technologické zařízení PS bude dodáno s autonomním řídicím systémem, který bude zajišťovat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provoz PS a rovněž komunikaci na standardizovaném protokolu MODBUS TCP/IP a spolupráci s EMS budovy Solar Global. Řídicí systém technologického zařízení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bude řešen ve spolupráci se zadavatelem tak, aby byla zajištěna plně funkční vzájemná komunikace a přenos klíčových provozních parametrů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i splnění všech (zejména bezpečnostních) funkcionalit.</w:t>
      </w:r>
    </w:p>
    <w:p w14:paraId="71767A77" w14:textId="6F76576B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Technologické zařízení musí splňovat požadavky na umístění zařízení v souladu s </w:t>
      </w:r>
      <w:r w:rsidR="001303A9" w:rsidRPr="00191F4B">
        <w:rPr>
          <w:rFonts w:asciiTheme="majorHAnsi" w:hAnsiTheme="majorHAnsi" w:cstheme="majorHAnsi"/>
        </w:rPr>
        <w:t xml:space="preserve">DSP </w:t>
      </w:r>
      <w:r w:rsidRPr="00191F4B">
        <w:rPr>
          <w:rFonts w:asciiTheme="majorHAnsi" w:hAnsiTheme="majorHAnsi" w:cstheme="majorHAnsi"/>
        </w:rPr>
        <w:t>a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musí být přiměřeně zohledněny požadavky na vnější vzhled </w:t>
      </w:r>
      <w:r w:rsidR="00E427BD" w:rsidRPr="00191F4B">
        <w:rPr>
          <w:rFonts w:asciiTheme="majorHAnsi" w:hAnsiTheme="majorHAnsi" w:cstheme="majorHAnsi"/>
        </w:rPr>
        <w:t>zařízení – zařízení</w:t>
      </w:r>
      <w:r w:rsidRPr="00191F4B">
        <w:rPr>
          <w:rFonts w:asciiTheme="majorHAnsi" w:hAnsiTheme="majorHAnsi" w:cstheme="majorHAnsi"/>
        </w:rPr>
        <w:t xml:space="preserve"> musí respektovat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požadavky zadavatele na případné další instalace designových prvků apod.</w:t>
      </w:r>
    </w:p>
    <w:p w14:paraId="69452A5A" w14:textId="4AA641B6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Dodané a instalované zařízení musí splňovat požadavky na hluk v souladu s</w:t>
      </w:r>
      <w:r w:rsidR="00944A1C" w:rsidRPr="00191F4B">
        <w:rPr>
          <w:rFonts w:asciiTheme="majorHAnsi" w:hAnsiTheme="majorHAnsi" w:cstheme="majorHAnsi"/>
        </w:rPr>
        <w:t xml:space="preserve"> platnou </w:t>
      </w:r>
      <w:r w:rsidRPr="00191F4B">
        <w:rPr>
          <w:rFonts w:asciiTheme="majorHAnsi" w:hAnsiTheme="majorHAnsi" w:cstheme="majorHAnsi"/>
        </w:rPr>
        <w:t>legislativou.</w:t>
      </w:r>
    </w:p>
    <w:p w14:paraId="1D76BA1B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Dodané a instalované zařízení musí splňovat požadavky zadavatele na zabezpečení objektu (kartový</w:t>
      </w:r>
    </w:p>
    <w:p w14:paraId="6ECE5780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přístupový systém apod.).</w:t>
      </w:r>
    </w:p>
    <w:p w14:paraId="7CFFC474" w14:textId="6733C3C6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V případě, že projektové řešení v některých částech nebude umožňovat instalaci nabízené technologie, musí s </w:t>
      </w:r>
      <w:r w:rsidR="00BB1D88" w:rsidRPr="00191F4B">
        <w:rPr>
          <w:rFonts w:asciiTheme="majorHAnsi" w:hAnsiTheme="majorHAnsi" w:cstheme="majorHAnsi"/>
        </w:rPr>
        <w:t>dodavatel</w:t>
      </w:r>
      <w:r w:rsidRPr="00191F4B">
        <w:rPr>
          <w:rFonts w:asciiTheme="majorHAnsi" w:hAnsiTheme="majorHAnsi" w:cstheme="majorHAnsi"/>
        </w:rPr>
        <w:t xml:space="preserve"> </w:t>
      </w:r>
      <w:r w:rsidR="00BB1D88" w:rsidRPr="00191F4B">
        <w:rPr>
          <w:rFonts w:asciiTheme="majorHAnsi" w:hAnsiTheme="majorHAnsi" w:cstheme="majorHAnsi"/>
        </w:rPr>
        <w:t xml:space="preserve">na </w:t>
      </w:r>
      <w:r w:rsidRPr="00191F4B">
        <w:rPr>
          <w:rFonts w:asciiTheme="majorHAnsi" w:hAnsiTheme="majorHAnsi" w:cstheme="majorHAnsi"/>
        </w:rPr>
        <w:t xml:space="preserve">svůj náklad upravit výkresy pro stavební připravenost a řešit změnu stavby před jejím dokončením se stavebním úřadem ve spolupráci se zadavatelem. Zadavatel požaduje, aby </w:t>
      </w:r>
      <w:r w:rsidR="009F161B" w:rsidRPr="00191F4B">
        <w:rPr>
          <w:rFonts w:asciiTheme="majorHAnsi" w:hAnsiTheme="majorHAnsi" w:cstheme="majorHAnsi"/>
        </w:rPr>
        <w:t xml:space="preserve">vybraný </w:t>
      </w:r>
      <w:r w:rsidRPr="00191F4B">
        <w:rPr>
          <w:rFonts w:asciiTheme="majorHAnsi" w:hAnsiTheme="majorHAnsi" w:cstheme="majorHAnsi"/>
        </w:rPr>
        <w:t xml:space="preserve">dodavatel zajistil u technologického zařízení provedení zkoušek a revizí, provedl funkční zkoušky, zajistil uvedení zařízení do bezpečného provozu a proškolit pracovníky provozu zadavatele. </w:t>
      </w:r>
      <w:r w:rsidRPr="00191F4B">
        <w:rPr>
          <w:rFonts w:asciiTheme="majorHAnsi" w:hAnsiTheme="majorHAnsi" w:cstheme="majorHAnsi"/>
        </w:rPr>
        <w:br/>
      </w:r>
      <w:r w:rsidR="009F161B" w:rsidRPr="00191F4B">
        <w:rPr>
          <w:rFonts w:asciiTheme="majorHAnsi" w:hAnsiTheme="majorHAnsi" w:cstheme="majorHAnsi"/>
        </w:rPr>
        <w:t>Vybraný d</w:t>
      </w:r>
      <w:r w:rsidRPr="00191F4B">
        <w:rPr>
          <w:rFonts w:asciiTheme="majorHAnsi" w:hAnsiTheme="majorHAnsi" w:cstheme="majorHAnsi"/>
        </w:rPr>
        <w:t xml:space="preserve">odavatel dále zajistí vybavení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prostředky požární ochrany a BOZP (bezpečnost a ochrana zdraví při práci), tj. zejména hasicí přístroje, bezpečnostní prvky, tabulky BOZP, informační a instruktážní tabule.</w:t>
      </w:r>
    </w:p>
    <w:p w14:paraId="7B209930" w14:textId="47EA68E8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Po uvedení </w:t>
      </w:r>
      <w:r w:rsidR="00BB1D88" w:rsidRPr="00191F4B">
        <w:rPr>
          <w:rFonts w:asciiTheme="majorHAnsi" w:hAnsiTheme="majorHAnsi" w:cstheme="majorHAnsi"/>
        </w:rPr>
        <w:t xml:space="preserve">plnící stanice </w:t>
      </w:r>
      <w:r w:rsidRPr="00191F4B">
        <w:rPr>
          <w:rFonts w:asciiTheme="majorHAnsi" w:hAnsiTheme="majorHAnsi" w:cstheme="majorHAnsi"/>
        </w:rPr>
        <w:t xml:space="preserve">do provozu podle této zadávací dokumentace musí </w:t>
      </w:r>
      <w:r w:rsidR="00AB785B" w:rsidRPr="00191F4B">
        <w:rPr>
          <w:rFonts w:asciiTheme="majorHAnsi" w:hAnsiTheme="majorHAnsi" w:cstheme="majorHAnsi"/>
        </w:rPr>
        <w:t xml:space="preserve">vybraný </w:t>
      </w:r>
      <w:r w:rsidRPr="00191F4B">
        <w:rPr>
          <w:rFonts w:asciiTheme="majorHAnsi" w:hAnsiTheme="majorHAnsi" w:cstheme="majorHAnsi"/>
        </w:rPr>
        <w:t>dodavatel do tří týdnů předat technickou dokumentaci dodávky v českém jazyce podle skutečného stavu. Průvodní dokumentace nakupovaných dílů může být v anglickém jazyce.</w:t>
      </w:r>
      <w:r w:rsidR="00AB785B" w:rsidRPr="00191F4B">
        <w:rPr>
          <w:rFonts w:asciiTheme="majorHAnsi" w:hAnsiTheme="majorHAnsi" w:cstheme="majorHAnsi"/>
        </w:rPr>
        <w:t xml:space="preserve"> Vybraný</w:t>
      </w:r>
      <w:r w:rsidR="00E427BD" w:rsidRPr="00191F4B">
        <w:rPr>
          <w:rFonts w:asciiTheme="majorHAnsi" w:hAnsiTheme="majorHAnsi" w:cstheme="majorHAnsi"/>
        </w:rPr>
        <w:t xml:space="preserve"> </w:t>
      </w:r>
      <w:r w:rsidR="00AB785B" w:rsidRPr="00191F4B">
        <w:rPr>
          <w:rFonts w:asciiTheme="majorHAnsi" w:hAnsiTheme="majorHAnsi" w:cstheme="majorHAnsi"/>
        </w:rPr>
        <w:t>d</w:t>
      </w:r>
      <w:r w:rsidRPr="00191F4B">
        <w:rPr>
          <w:rFonts w:asciiTheme="majorHAnsi" w:hAnsiTheme="majorHAnsi" w:cstheme="majorHAnsi"/>
        </w:rPr>
        <w:t xml:space="preserve">odavatel ve spolupráci se zadavatelem zajistí zhotovení dokumentů nezbytných pro zahájení provozu a provozování technologických zařízení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dle požadavků </w:t>
      </w:r>
      <w:r w:rsidR="00AB785B" w:rsidRPr="00191F4B">
        <w:rPr>
          <w:rFonts w:asciiTheme="majorHAnsi" w:hAnsiTheme="majorHAnsi" w:cstheme="majorHAnsi"/>
        </w:rPr>
        <w:t xml:space="preserve">platné </w:t>
      </w:r>
      <w:r w:rsidRPr="00191F4B">
        <w:rPr>
          <w:rFonts w:asciiTheme="majorHAnsi" w:hAnsiTheme="majorHAnsi" w:cstheme="majorHAnsi"/>
        </w:rPr>
        <w:t>legislativy, BOZP nebo jiných zvláštních předpisů (např. místní provozní bezpečnostní předpis, seznamy oprávněných osob vyškolených pro manipulaci se zařízeními apod.).</w:t>
      </w:r>
    </w:p>
    <w:p w14:paraId="2CA1BACD" w14:textId="06C76E4B" w:rsidR="00FF07F3" w:rsidRPr="00191F4B" w:rsidRDefault="00AB785B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Vybraný d</w:t>
      </w:r>
      <w:r w:rsidR="00FF07F3" w:rsidRPr="00191F4B">
        <w:rPr>
          <w:rFonts w:asciiTheme="majorHAnsi" w:hAnsiTheme="majorHAnsi" w:cstheme="majorHAnsi"/>
        </w:rPr>
        <w:t>odavatel se zavazuje k dodávce plnící stanice, která splňuje zadavatelem požadovanou funkční specifikaci.</w:t>
      </w:r>
    </w:p>
    <w:p w14:paraId="538827C2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296A1CC9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>Stručný popis technologických zařízení PS</w:t>
      </w:r>
    </w:p>
    <w:p w14:paraId="66DF26A8" w14:textId="74C28289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Provozní zásoba plynů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bude instalována na betonové oplocené zastřešené ploše, navazující na kompresorovou část a elektrolyzér. Zde budou umístěny svazky tlakových lahví dimenzovaných tak, aby byly naplněny </w:t>
      </w:r>
      <w:r w:rsidRPr="00191F4B">
        <w:rPr>
          <w:rFonts w:asciiTheme="majorHAnsi" w:hAnsiTheme="majorHAnsi" w:cstheme="majorHAnsi"/>
          <w:b/>
          <w:bCs/>
        </w:rPr>
        <w:t>kapacitní nároky plnící stanice 50 kg vodíku za jednu hodinu</w:t>
      </w:r>
      <w:r w:rsidRPr="00191F4B">
        <w:rPr>
          <w:rFonts w:asciiTheme="majorHAnsi" w:hAnsiTheme="majorHAnsi" w:cstheme="majorHAnsi"/>
        </w:rPr>
        <w:t xml:space="preserve"> pro osobní a/nebo nákladní vozidla. Součástí dodávky budou dále potrubní a kabelové propoje</w:t>
      </w:r>
      <w:r w:rsidR="002847A7" w:rsidRPr="00191F4B">
        <w:rPr>
          <w:rFonts w:asciiTheme="majorHAnsi" w:hAnsiTheme="majorHAnsi" w:cstheme="majorHAnsi"/>
        </w:rPr>
        <w:t>ní</w:t>
      </w:r>
      <w:r w:rsidRPr="00191F4B">
        <w:rPr>
          <w:rFonts w:asciiTheme="majorHAnsi" w:hAnsiTheme="majorHAnsi" w:cstheme="majorHAnsi"/>
        </w:rPr>
        <w:t xml:space="preserve"> v souladu s projektovou dokumentací.</w:t>
      </w:r>
    </w:p>
    <w:p w14:paraId="19DADA7E" w14:textId="26FDA460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Tlakové svazky vodíku budou vybaveny dálkovou signalizací naplněnosti. Technologické části systému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související s akumulaci vodíku z elektrolýzy budou připraveny pro dálkové ovládání a aktivaci těchto funkcí z nadřazeného systému EMS budovy.</w:t>
      </w:r>
    </w:p>
    <w:p w14:paraId="10D4856D" w14:textId="77777777" w:rsidR="00886362" w:rsidRPr="00191F4B" w:rsidRDefault="00886362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</w:p>
    <w:p w14:paraId="0B2A0BD8" w14:textId="77777777" w:rsidR="005163DD" w:rsidRDefault="005163DD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</w:p>
    <w:p w14:paraId="3D52CA28" w14:textId="4090B985" w:rsidR="00E427BD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lastRenderedPageBreak/>
        <w:t>Požadavky na elektronické ochrany:</w:t>
      </w:r>
    </w:p>
    <w:p w14:paraId="7BFCD6FB" w14:textId="2C2226BE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Součástí instalace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bude signál EMERGENCY STOP tlačítka, které bude instalováno u výdejního stojanu plnící stanice a u vstupu do zabezpečeného prostoru kompresní části a tlakových svazků vodíku pro možnost vypnutí zdroje tlaku (uzavření dálkově ovládaných armatur ve zdrojové stanici technických plynů v</w:t>
      </w:r>
      <w:r w:rsidR="00BB1D88" w:rsidRPr="00191F4B">
        <w:rPr>
          <w:rFonts w:asciiTheme="majorHAnsi" w:hAnsiTheme="majorHAnsi" w:cstheme="majorHAnsi"/>
        </w:rPr>
        <w:t> plnící stanici</w:t>
      </w:r>
      <w:r w:rsidRPr="00191F4B">
        <w:rPr>
          <w:rFonts w:asciiTheme="majorHAnsi" w:hAnsiTheme="majorHAnsi" w:cstheme="majorHAnsi"/>
        </w:rPr>
        <w:t>) obsluhou v případě vážné poruchy některé části systému nebo připojených vodíkových technologií. Musí být zajištěno, aby informace o vybavení nebo trvání tohoto signálu, iniciovaném STOP tlačítky, bylo předávána do EMS.</w:t>
      </w:r>
    </w:p>
    <w:p w14:paraId="2DD058C4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2CEA1B2A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>Zkoušky zařízení, uvedení do provozu</w:t>
      </w:r>
    </w:p>
    <w:p w14:paraId="2C20EA6F" w14:textId="26E7BF43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Před uvedením zařízení do provozu musí být </w:t>
      </w:r>
      <w:r w:rsidR="00A57B7D" w:rsidRPr="00191F4B">
        <w:rPr>
          <w:rFonts w:asciiTheme="majorHAnsi" w:hAnsiTheme="majorHAnsi" w:cstheme="majorHAnsi"/>
        </w:rPr>
        <w:t xml:space="preserve">vybraným </w:t>
      </w:r>
      <w:r w:rsidR="00BB1D88" w:rsidRPr="00191F4B">
        <w:rPr>
          <w:rFonts w:asciiTheme="majorHAnsi" w:hAnsiTheme="majorHAnsi" w:cstheme="majorHAnsi"/>
        </w:rPr>
        <w:t xml:space="preserve">dodavatelem </w:t>
      </w:r>
      <w:r w:rsidRPr="00191F4B">
        <w:rPr>
          <w:rFonts w:asciiTheme="majorHAnsi" w:hAnsiTheme="majorHAnsi" w:cstheme="majorHAnsi"/>
        </w:rPr>
        <w:t>provedeno</w:t>
      </w:r>
      <w:r w:rsidR="00F615D7" w:rsidRPr="00191F4B">
        <w:rPr>
          <w:rFonts w:asciiTheme="majorHAnsi" w:hAnsiTheme="majorHAnsi" w:cstheme="majorHAnsi"/>
        </w:rPr>
        <w:t xml:space="preserve"> zejména</w:t>
      </w:r>
      <w:r w:rsidRPr="00191F4B">
        <w:rPr>
          <w:rFonts w:asciiTheme="majorHAnsi" w:hAnsiTheme="majorHAnsi" w:cstheme="majorHAnsi"/>
        </w:rPr>
        <w:t>:</w:t>
      </w:r>
      <w:r w:rsidRPr="00191F4B">
        <w:rPr>
          <w:rFonts w:asciiTheme="majorHAnsi" w:hAnsiTheme="majorHAnsi" w:cstheme="majorHAnsi"/>
        </w:rPr>
        <w:br/>
        <w:t>- kontrola dokumentace jednotlivých částí technologického souboru s důrazem na vhodnost jejich použití a tlakovou odolnost,</w:t>
      </w:r>
      <w:r w:rsidRPr="00191F4B">
        <w:rPr>
          <w:rFonts w:asciiTheme="majorHAnsi" w:hAnsiTheme="majorHAnsi" w:cstheme="majorHAnsi"/>
        </w:rPr>
        <w:br/>
        <w:t>- kontroly a zkoušky dle ČSN EN 07 8304</w:t>
      </w:r>
      <w:r w:rsidR="00CA0C4C">
        <w:rPr>
          <w:rFonts w:asciiTheme="majorHAnsi" w:hAnsiTheme="majorHAnsi" w:cstheme="majorHAnsi"/>
        </w:rPr>
        <w:t xml:space="preserve"> </w:t>
      </w:r>
      <w:r w:rsidR="00CA0C4C" w:rsidRPr="00CA0C4C">
        <w:rPr>
          <w:rFonts w:asciiTheme="majorHAnsi" w:hAnsiTheme="majorHAnsi" w:cstheme="majorHAnsi"/>
          <w:i/>
          <w:iCs/>
          <w:sz w:val="20"/>
          <w:szCs w:val="20"/>
        </w:rPr>
        <w:t>(zadavatel v souladu s § 90 odst. 3 ZZVZ umožňuje nabídnout rovnocenné řešení)</w:t>
      </w:r>
      <w:r w:rsidRPr="00191F4B">
        <w:rPr>
          <w:rFonts w:asciiTheme="majorHAnsi" w:hAnsiTheme="majorHAnsi" w:cstheme="majorHAnsi"/>
        </w:rPr>
        <w:t>,</w:t>
      </w:r>
      <w:r w:rsidRPr="00191F4B">
        <w:rPr>
          <w:rFonts w:asciiTheme="majorHAnsi" w:hAnsiTheme="majorHAnsi" w:cstheme="majorHAnsi"/>
        </w:rPr>
        <w:br/>
        <w:t>- zkoušky dle požadavků směrnice EU PED 2014/68/EU</w:t>
      </w:r>
      <w:r w:rsidR="00CA0C4C">
        <w:rPr>
          <w:rFonts w:asciiTheme="majorHAnsi" w:hAnsiTheme="majorHAnsi" w:cstheme="majorHAnsi"/>
        </w:rPr>
        <w:t xml:space="preserve"> </w:t>
      </w:r>
      <w:r w:rsidR="00CA0C4C" w:rsidRPr="00CA0C4C">
        <w:rPr>
          <w:rFonts w:asciiTheme="majorHAnsi" w:hAnsiTheme="majorHAnsi" w:cstheme="majorHAnsi"/>
          <w:i/>
          <w:iCs/>
          <w:sz w:val="20"/>
          <w:szCs w:val="20"/>
        </w:rPr>
        <w:t>(zadavatel v souladu s § 90 odst. 3 ZZVZ umožňuje nabídnout rovnocenné řešení)</w:t>
      </w:r>
      <w:r w:rsidRPr="00191F4B">
        <w:rPr>
          <w:rFonts w:asciiTheme="majorHAnsi" w:hAnsiTheme="majorHAnsi" w:cstheme="majorHAnsi"/>
        </w:rPr>
        <w:t>,</w:t>
      </w:r>
      <w:r w:rsidRPr="00191F4B">
        <w:rPr>
          <w:rFonts w:asciiTheme="majorHAnsi" w:hAnsiTheme="majorHAnsi" w:cstheme="majorHAnsi"/>
        </w:rPr>
        <w:br/>
        <w:t>- výchozí revize vyhrazených technických zařízení (plynová, elektrická, tlaková),</w:t>
      </w:r>
      <w:r w:rsidRPr="00191F4B">
        <w:rPr>
          <w:rFonts w:asciiTheme="majorHAnsi" w:hAnsiTheme="majorHAnsi" w:cstheme="majorHAnsi"/>
        </w:rPr>
        <w:br/>
        <w:t>- zaškolení osob odpovědných za provoz zařízení,</w:t>
      </w:r>
      <w:r w:rsidRPr="00191F4B">
        <w:rPr>
          <w:rFonts w:asciiTheme="majorHAnsi" w:hAnsiTheme="majorHAnsi" w:cstheme="majorHAnsi"/>
        </w:rPr>
        <w:br/>
        <w:t>- úřední zkoušky za účasti TIČR na zařízení elektro v prostorech s nebezpečím výbuchu - je-li vyžadováno,</w:t>
      </w:r>
      <w:r w:rsidRPr="00191F4B">
        <w:rPr>
          <w:rFonts w:asciiTheme="majorHAnsi" w:hAnsiTheme="majorHAnsi" w:cstheme="majorHAnsi"/>
        </w:rPr>
        <w:br/>
        <w:t xml:space="preserve">- úřední zkoušky za účasti TIČR plynová zařízení skup. </w:t>
      </w:r>
      <w:r w:rsidR="00E427BD" w:rsidRPr="00191F4B">
        <w:rPr>
          <w:rFonts w:asciiTheme="majorHAnsi" w:hAnsiTheme="majorHAnsi" w:cstheme="majorHAnsi"/>
        </w:rPr>
        <w:t>C – je</w:t>
      </w:r>
      <w:r w:rsidRPr="00191F4B">
        <w:rPr>
          <w:rFonts w:asciiTheme="majorHAnsi" w:hAnsiTheme="majorHAnsi" w:cstheme="majorHAnsi"/>
        </w:rPr>
        <w:t xml:space="preserve">-li </w:t>
      </w:r>
      <w:r w:rsidR="00E427BD" w:rsidRPr="00191F4B">
        <w:rPr>
          <w:rFonts w:asciiTheme="majorHAnsi" w:hAnsiTheme="majorHAnsi" w:cstheme="majorHAnsi"/>
        </w:rPr>
        <w:t>vyžadováno.</w:t>
      </w:r>
    </w:p>
    <w:p w14:paraId="05CE6571" w14:textId="2A1054C1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Postup provedení zkoušek dle směrnice PED 2014/68/EU</w:t>
      </w:r>
      <w:r w:rsidR="000A12C2">
        <w:rPr>
          <w:rFonts w:asciiTheme="majorHAnsi" w:hAnsiTheme="majorHAnsi" w:cstheme="majorHAnsi"/>
        </w:rPr>
        <w:t xml:space="preserve"> </w:t>
      </w:r>
      <w:r w:rsidR="000A12C2" w:rsidRPr="00CA0C4C">
        <w:rPr>
          <w:rFonts w:asciiTheme="majorHAnsi" w:hAnsiTheme="majorHAnsi" w:cstheme="majorHAnsi"/>
          <w:i/>
          <w:iCs/>
          <w:sz w:val="20"/>
          <w:szCs w:val="20"/>
        </w:rPr>
        <w:t>(zadavatel v souladu s § 90 odst. 3 ZZVZ umožňuje nabídnout rovnocenné řešení)</w:t>
      </w:r>
      <w:r w:rsidRPr="00191F4B">
        <w:rPr>
          <w:rFonts w:asciiTheme="majorHAnsi" w:hAnsiTheme="majorHAnsi" w:cstheme="majorHAnsi"/>
        </w:rPr>
        <w:t xml:space="preserve"> je podrobně popsán v této směrnici, včetně kritérií pro jejich vyhodnocení. Provedení a dokumentaci zkoušek zajistí výrobce/</w:t>
      </w:r>
      <w:r w:rsidR="00C4150D" w:rsidRPr="00191F4B">
        <w:rPr>
          <w:rFonts w:asciiTheme="majorHAnsi" w:hAnsiTheme="majorHAnsi" w:cstheme="majorHAnsi"/>
        </w:rPr>
        <w:t xml:space="preserve">vybraný </w:t>
      </w:r>
      <w:r w:rsidRPr="00191F4B">
        <w:rPr>
          <w:rFonts w:asciiTheme="majorHAnsi" w:hAnsiTheme="majorHAnsi" w:cstheme="majorHAnsi"/>
        </w:rPr>
        <w:t xml:space="preserve">dodavatel technologického souboru za účasti orgánu státního odborného dozoru, pro část elektrickou a plynovou. Z důvodu zachování vnitřní čistoty zařízení </w:t>
      </w:r>
      <w:r w:rsidR="00E427BD" w:rsidRPr="00191F4B">
        <w:rPr>
          <w:rFonts w:asciiTheme="majorHAnsi" w:hAnsiTheme="majorHAnsi" w:cstheme="majorHAnsi"/>
        </w:rPr>
        <w:t>se</w:t>
      </w:r>
      <w:r w:rsidRPr="00191F4B">
        <w:rPr>
          <w:rFonts w:asciiTheme="majorHAnsi" w:hAnsiTheme="majorHAnsi" w:cstheme="majorHAnsi"/>
        </w:rPr>
        <w:t xml:space="preserve"> zkoušky provádějí inertním plynem. Zkouška celistvosti (pevnosti) potrubního systému bude provedena dle příslušné legislativy a platných technických norem, při respektování max. pracovních přetlaků v daných úsecích potrubí. Funkčním zkouškám musí být systém podroben jako celek.</w:t>
      </w:r>
    </w:p>
    <w:p w14:paraId="5A164D9B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24AC1DEF" w14:textId="46E5984F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 xml:space="preserve">Silnoproudá napájení </w:t>
      </w:r>
      <w:r w:rsidR="00BB1D88" w:rsidRPr="00191F4B">
        <w:rPr>
          <w:rFonts w:asciiTheme="majorHAnsi" w:hAnsiTheme="majorHAnsi" w:cstheme="majorHAnsi"/>
          <w:b/>
          <w:bCs/>
        </w:rPr>
        <w:t>plnící stanice</w:t>
      </w:r>
      <w:r w:rsidRPr="00191F4B">
        <w:rPr>
          <w:rFonts w:asciiTheme="majorHAnsi" w:hAnsiTheme="majorHAnsi" w:cstheme="majorHAnsi"/>
          <w:b/>
          <w:bCs/>
        </w:rPr>
        <w:t xml:space="preserve"> a instrumentace</w:t>
      </w:r>
    </w:p>
    <w:p w14:paraId="7A051F81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V prostorech, kde se kabely budou ukládat mimo vlastní uzavřené kabelové cesty, se musí kabelové trasy situovat do bezpečných vzdáleností od požárně nebezpečných zařízení (horké potrubí, horké aparáty apod.), případně provést mechanickou a protipožární ochranu kabelů. Datové a komunikační kabely pro napojení na řídicí systém budou vedeny v samostatném uložení, aby se předešlo nežádoucímu ovlivňování. Kabelové trasy, které prostupují stavebními konstrukcemi v místě dělení požárních úseků, musí být po montáži utěsněny požární přepážkou. Uložení kabelů a provedení elektroinstalace musí odpovídat příslušným platným technickým normám. Provedení kabelových rozvodů musí být takové, aby bylo dostatečně odolné proti elektromagnetickému a elektrostatickému rušení v souladu s platnými normami.</w:t>
      </w:r>
    </w:p>
    <w:p w14:paraId="3073EBDA" w14:textId="77777777" w:rsidR="005163DD" w:rsidRDefault="005163DD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</w:p>
    <w:p w14:paraId="2E9BF8AE" w14:textId="77777777" w:rsidR="005163DD" w:rsidRDefault="005163DD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</w:p>
    <w:p w14:paraId="31969538" w14:textId="6A2BD51F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lastRenderedPageBreak/>
        <w:t>Instrumentace:</w:t>
      </w:r>
    </w:p>
    <w:p w14:paraId="78E75AD5" w14:textId="7110DA39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Počet jednotlivých senzorů, aktivních prvků a datových linek bude stanoven realizační </w:t>
      </w:r>
      <w:r w:rsidR="00175A21" w:rsidRPr="00191F4B">
        <w:rPr>
          <w:rFonts w:asciiTheme="majorHAnsi" w:hAnsiTheme="majorHAnsi" w:cstheme="majorHAnsi"/>
        </w:rPr>
        <w:t xml:space="preserve">projektovou </w:t>
      </w:r>
      <w:r w:rsidRPr="00191F4B">
        <w:rPr>
          <w:rFonts w:asciiTheme="majorHAnsi" w:hAnsiTheme="majorHAnsi" w:cstheme="majorHAnsi"/>
        </w:rPr>
        <w:t xml:space="preserve">dokumentací </w:t>
      </w:r>
      <w:r w:rsidR="00175A21" w:rsidRPr="00191F4B">
        <w:rPr>
          <w:rFonts w:asciiTheme="majorHAnsi" w:hAnsiTheme="majorHAnsi" w:cstheme="majorHAnsi"/>
        </w:rPr>
        <w:t xml:space="preserve">vypracovanou vybraným dodavatelem </w:t>
      </w:r>
      <w:r w:rsidRPr="00191F4B">
        <w:rPr>
          <w:rFonts w:asciiTheme="majorHAnsi" w:hAnsiTheme="majorHAnsi" w:cstheme="majorHAnsi"/>
        </w:rPr>
        <w:t xml:space="preserve">dle výše uvedených funkcionalit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v koordinaci se zadavatelem.</w:t>
      </w:r>
    </w:p>
    <w:p w14:paraId="5E94A73F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Obecné požadavky na PLC pro spolupráci s EMS:</w:t>
      </w:r>
    </w:p>
    <w:p w14:paraId="74488F5B" w14:textId="7F764059" w:rsidR="00320B26" w:rsidRPr="00191F4B" w:rsidRDefault="00FF07F3" w:rsidP="00320B26">
      <w:pPr>
        <w:pStyle w:val="Odstavecseseznamem"/>
        <w:numPr>
          <w:ilvl w:val="0"/>
          <w:numId w:val="42"/>
        </w:numPr>
        <w:spacing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podpora tzv. vzdálených distribuovaných VN (vstupu/výstupů), karty musí podporovat obvyklý průmyslový standard pro jednotlivých el. rozhraní dle typu signálu: Dl, DO — 24 V DC, 230 V AC; AI, AO, - 4-20</w:t>
      </w:r>
      <w:r w:rsidR="00294B1C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mA, 0-10</w:t>
      </w:r>
      <w:r w:rsidR="00294B1C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V, </w:t>
      </w:r>
      <w:r w:rsidR="00320B26" w:rsidRPr="00191F4B">
        <w:rPr>
          <w:rFonts w:asciiTheme="majorHAnsi" w:hAnsiTheme="majorHAnsi" w:cstheme="majorHAnsi"/>
        </w:rPr>
        <w:t>2,3 vodičové</w:t>
      </w:r>
      <w:r w:rsidRPr="00191F4B">
        <w:rPr>
          <w:rFonts w:asciiTheme="majorHAnsi" w:hAnsiTheme="majorHAnsi" w:cstheme="majorHAnsi"/>
        </w:rPr>
        <w:t xml:space="preserve"> zapojeni; </w:t>
      </w:r>
      <w:r w:rsidR="00320B26" w:rsidRPr="00191F4B">
        <w:rPr>
          <w:rFonts w:asciiTheme="majorHAnsi" w:hAnsiTheme="majorHAnsi" w:cstheme="majorHAnsi"/>
        </w:rPr>
        <w:t>RTD – teplotní</w:t>
      </w:r>
      <w:r w:rsidRPr="00191F4B">
        <w:rPr>
          <w:rFonts w:asciiTheme="majorHAnsi" w:hAnsiTheme="majorHAnsi" w:cstheme="majorHAnsi"/>
        </w:rPr>
        <w:t xml:space="preserve"> články</w:t>
      </w:r>
    </w:p>
    <w:p w14:paraId="15E85DDB" w14:textId="5A20D396" w:rsidR="00320B26" w:rsidRPr="00F1508C" w:rsidRDefault="008C31B0" w:rsidP="008C31B0">
      <w:pPr>
        <w:pStyle w:val="Odstavecseseznamem"/>
        <w:numPr>
          <w:ilvl w:val="0"/>
          <w:numId w:val="42"/>
        </w:numPr>
        <w:spacing w:line="276" w:lineRule="auto"/>
        <w:rPr>
          <w:rStyle w:val="ui-provider"/>
          <w:rFonts w:asciiTheme="majorHAnsi" w:hAnsiTheme="majorHAnsi" w:cstheme="majorHAnsi"/>
        </w:rPr>
      </w:pPr>
      <w:r w:rsidRPr="00191F4B">
        <w:rPr>
          <w:rStyle w:val="ui-provider"/>
          <w:rFonts w:asciiTheme="majorHAnsi" w:hAnsiTheme="majorHAnsi" w:cstheme="majorHAnsi"/>
        </w:rPr>
        <w:t xml:space="preserve">podpora komunikačního </w:t>
      </w:r>
      <w:r w:rsidRPr="00F1508C">
        <w:rPr>
          <w:rStyle w:val="ui-provider"/>
          <w:rFonts w:asciiTheme="majorHAnsi" w:hAnsiTheme="majorHAnsi" w:cstheme="majorHAnsi"/>
        </w:rPr>
        <w:t xml:space="preserve">průmyslového protokolu </w:t>
      </w:r>
      <w:r w:rsidR="00F1508C" w:rsidRPr="00F1508C">
        <w:rPr>
          <w:rStyle w:val="cf01"/>
          <w:rFonts w:asciiTheme="majorHAnsi" w:hAnsiTheme="majorHAnsi" w:cstheme="majorHAnsi"/>
          <w:sz w:val="22"/>
          <w:szCs w:val="22"/>
        </w:rPr>
        <w:t>Modbus a BACnet, případně jiného obecně rozšířeného protokolu</w:t>
      </w:r>
    </w:p>
    <w:p w14:paraId="5D81A3C2" w14:textId="76C94FA6" w:rsidR="00FF07F3" w:rsidRPr="00191F4B" w:rsidRDefault="008C31B0" w:rsidP="008C31B0">
      <w:pPr>
        <w:pStyle w:val="Odstavecseseznamem"/>
        <w:numPr>
          <w:ilvl w:val="0"/>
          <w:numId w:val="42"/>
        </w:numPr>
        <w:spacing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podpora</w:t>
      </w:r>
      <w:r w:rsidRPr="00191F4B">
        <w:rPr>
          <w:rStyle w:val="ui-provider"/>
          <w:rFonts w:asciiTheme="majorHAnsi" w:hAnsiTheme="majorHAnsi" w:cstheme="majorHAnsi"/>
        </w:rPr>
        <w:t xml:space="preserve"> </w:t>
      </w:r>
      <w:r w:rsidR="00320B26" w:rsidRPr="00191F4B">
        <w:rPr>
          <w:rStyle w:val="ui-provider"/>
          <w:rFonts w:asciiTheme="majorHAnsi" w:hAnsiTheme="majorHAnsi" w:cstheme="majorHAnsi"/>
        </w:rPr>
        <w:t>protokolu IEC</w:t>
      </w:r>
      <w:r w:rsidRPr="00191F4B">
        <w:rPr>
          <w:rStyle w:val="ui-provider"/>
          <w:rFonts w:asciiTheme="majorHAnsi" w:hAnsiTheme="majorHAnsi" w:cstheme="majorHAnsi"/>
        </w:rPr>
        <w:t xml:space="preserve"> 60870-5-104 pro poskytnutí komunikačního profilu mezi připojenými systémy</w:t>
      </w:r>
    </w:p>
    <w:p w14:paraId="7261FC9D" w14:textId="77777777" w:rsidR="00320B26" w:rsidRPr="00191F4B" w:rsidRDefault="00320B26" w:rsidP="00E427BD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</w:p>
    <w:p w14:paraId="517421AB" w14:textId="2DBE236E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Předpisy a normy</w:t>
      </w:r>
    </w:p>
    <w:p w14:paraId="7C78FAE0" w14:textId="11C1AD21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Obecně platí, že budou dodrženy veškeré závazné normy, platné normy a předpisy (vyhlášky, zákony</w:t>
      </w:r>
      <w:r w:rsidR="00E427BD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apod.). Jedná se zejména o normy:</w:t>
      </w:r>
    </w:p>
    <w:p w14:paraId="483D4FCC" w14:textId="2F776834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ČSN 33 0010 ed.2 Elektrická zařízení, rozdělení a pojmy</w:t>
      </w:r>
      <w:r w:rsidR="004F7F97">
        <w:rPr>
          <w:rStyle w:val="Znakapoznpodarou"/>
          <w:rFonts w:asciiTheme="majorHAnsi" w:hAnsiTheme="majorHAnsi" w:cstheme="majorHAnsi"/>
        </w:rPr>
        <w:footnoteReference w:id="1"/>
      </w:r>
      <w:r w:rsidRPr="00191F4B">
        <w:rPr>
          <w:rFonts w:asciiTheme="majorHAnsi" w:hAnsiTheme="majorHAnsi" w:cstheme="majorHAnsi"/>
        </w:rPr>
        <w:br/>
        <w:t>ČSN 33 1500 Revize el. zařízení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34 1610 Elektrický silnoproudý rozvod v průmyslových provozovnách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2000-1 ed.2 Rozsah platnosti, účel a základní hlediska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20004-41 ed.2 Ochrana před úrazem el. proudem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20004—42 ed.2 Ochrana před účinky tepla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20004-43 ed.2 Ochrana proti nadproudům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20004-45 Ochrana před podpětím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2000-4-46 ed.3 Odpojování a spínání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20004-473 Opatření k ochraně proti nadproudům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2000-5-51 ed.3 Všeobecné předpisy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2000-5-52 ed.2 Výběr soustav a stavba vedení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2000-5-53 ed.2 Spínací a řídící přístroje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2000-5-537 ed. 2 Přístroje pro odpojování a spínání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2000-5-54 ed.3 Uzemnění a ochranné vodiče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2000-5-56 ed.2 Napájení zařízení sloužících v případě nouze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2000-6 ed.2 Revize elektrické instalace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2130 ed.3 Vnitřní el. Rozvody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2180 Připojování el. spotřebičů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50110—1 ed.3 Obsluha a práce na elektrických zařízeních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60073 ed.2 Zásady kódování sdělovačů a ovladačů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60445 ed.4 Identifikace svorek předmětů, konců vodičů a vodičů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60529 Stupně ochrany krytem (IP kód)</w:t>
      </w:r>
      <w:r w:rsidR="0052407C" w:rsidRPr="0052407C">
        <w:rPr>
          <w:rStyle w:val="Znakapoznpodarou"/>
          <w:rFonts w:asciiTheme="majorHAnsi" w:hAnsiTheme="majorHAnsi" w:cstheme="majorHAnsi"/>
        </w:rPr>
        <w:t xml:space="preserve"> 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60909-0 ed.2 Zkratové proudy v trojfázových střídavých soustavách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</w:r>
      <w:r w:rsidRPr="00191F4B">
        <w:rPr>
          <w:rFonts w:asciiTheme="majorHAnsi" w:hAnsiTheme="majorHAnsi" w:cstheme="majorHAnsi"/>
        </w:rPr>
        <w:lastRenderedPageBreak/>
        <w:t>ČSN EN 61140 ed.3 Ochrana před úrazem elektrickým proudem — Společná hlediska pro instalaci a zařízení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61439-2 ed.2 Rozvaděče NN-Část 2: Výkonové rozvaděče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62305 ed. 2 Ochrana před bleskem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60079-0 ed. 4 Výbušné atmosféry — část O: zařízení — obecné požadavky</w:t>
      </w:r>
      <w:r w:rsidR="00C01D74">
        <w:rPr>
          <w:rStyle w:val="Znakapoznpodarou"/>
          <w:rFonts w:asciiTheme="majorHAnsi" w:hAnsiTheme="majorHAnsi" w:cstheme="majorHAnsi"/>
        </w:rPr>
        <w:footnoteReference w:id="2"/>
      </w:r>
      <w:r w:rsidRPr="00191F4B">
        <w:rPr>
          <w:rFonts w:asciiTheme="majorHAnsi" w:hAnsiTheme="majorHAnsi" w:cstheme="majorHAnsi"/>
        </w:rPr>
        <w:br/>
        <w:t>ČSN EN 60079-10-1 ed. 2 Výbušné atmosféry — část 10-1: Určování nebezpečných Prostorů</w:t>
      </w:r>
      <w:r w:rsidR="00C01D74">
        <w:rPr>
          <w:rStyle w:val="Znakapoznpodarou"/>
          <w:rFonts w:asciiTheme="majorHAnsi" w:hAnsiTheme="majorHAnsi" w:cstheme="majorHAnsi"/>
        </w:rPr>
        <w:t>2</w:t>
      </w:r>
    </w:p>
    <w:p w14:paraId="732B18A7" w14:textId="77777777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</w:p>
    <w:p w14:paraId="575DACD0" w14:textId="1955BA85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Výbušné plynné atmosféry</w:t>
      </w:r>
      <w:r w:rsidRPr="00191F4B">
        <w:rPr>
          <w:rFonts w:asciiTheme="majorHAnsi" w:hAnsiTheme="majorHAnsi" w:cstheme="majorHAnsi"/>
        </w:rPr>
        <w:br/>
        <w:t>ČSN EN 60079-14 ed. 4 Výbušné atmosféry — Část 14: Návrh, výběr a zřizování elektrických instalací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EN 60079-17 ed. 4 Výbušné </w:t>
      </w:r>
      <w:r w:rsidR="00E427BD" w:rsidRPr="00191F4B">
        <w:rPr>
          <w:rFonts w:asciiTheme="majorHAnsi" w:hAnsiTheme="majorHAnsi" w:cstheme="majorHAnsi"/>
        </w:rPr>
        <w:t>atmosféry – Část</w:t>
      </w:r>
      <w:r w:rsidRPr="00191F4B">
        <w:rPr>
          <w:rFonts w:asciiTheme="majorHAnsi" w:hAnsiTheme="majorHAnsi" w:cstheme="majorHAnsi"/>
        </w:rPr>
        <w:t xml:space="preserve"> 17: Revize a preventivní údržba elektrických instalací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>ČSN EN 13480 Kovová průmyslová potrubí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EN 1012-1 Kompresory a </w:t>
      </w:r>
      <w:r w:rsidR="00FF1318" w:rsidRPr="00191F4B">
        <w:rPr>
          <w:rFonts w:asciiTheme="majorHAnsi" w:hAnsiTheme="majorHAnsi" w:cstheme="majorHAnsi"/>
        </w:rPr>
        <w:t>vývěvy – Bezpečnostní</w:t>
      </w:r>
      <w:r w:rsidRPr="00191F4B">
        <w:rPr>
          <w:rFonts w:asciiTheme="majorHAnsi" w:hAnsiTheme="majorHAnsi" w:cstheme="majorHAnsi"/>
        </w:rPr>
        <w:t xml:space="preserve"> požadavky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EN 12464-1 Světlo a </w:t>
      </w:r>
      <w:r w:rsidR="00320B26" w:rsidRPr="00191F4B">
        <w:rPr>
          <w:rFonts w:asciiTheme="majorHAnsi" w:hAnsiTheme="majorHAnsi" w:cstheme="majorHAnsi"/>
        </w:rPr>
        <w:t>osvětlení – Osvětlení</w:t>
      </w:r>
      <w:r w:rsidRPr="00191F4B">
        <w:rPr>
          <w:rFonts w:asciiTheme="majorHAnsi" w:hAnsiTheme="majorHAnsi" w:cstheme="majorHAnsi"/>
        </w:rPr>
        <w:t xml:space="preserve"> pracovních </w:t>
      </w:r>
      <w:r w:rsidR="00320B26" w:rsidRPr="00191F4B">
        <w:rPr>
          <w:rFonts w:asciiTheme="majorHAnsi" w:hAnsiTheme="majorHAnsi" w:cstheme="majorHAnsi"/>
        </w:rPr>
        <w:t>prostorů – Část</w:t>
      </w:r>
      <w:r w:rsidRPr="00191F4B">
        <w:rPr>
          <w:rFonts w:asciiTheme="majorHAnsi" w:hAnsiTheme="majorHAnsi" w:cstheme="majorHAnsi"/>
        </w:rPr>
        <w:t xml:space="preserve"> 1: Vnitřní pracovní prostory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EN 12464-2 Světlo a osvětlení </w:t>
      </w:r>
      <w:r w:rsidR="00320B26" w:rsidRPr="00191F4B">
        <w:rPr>
          <w:rFonts w:asciiTheme="majorHAnsi" w:hAnsiTheme="majorHAnsi" w:cstheme="majorHAnsi"/>
        </w:rPr>
        <w:t>–</w:t>
      </w:r>
      <w:r w:rsidRPr="00191F4B">
        <w:rPr>
          <w:rFonts w:asciiTheme="majorHAnsi" w:hAnsiTheme="majorHAnsi" w:cstheme="majorHAnsi"/>
        </w:rPr>
        <w:t xml:space="preserve"> Osvětlení pracovních prostorů </w:t>
      </w:r>
      <w:r w:rsidR="00320B26" w:rsidRPr="00191F4B">
        <w:rPr>
          <w:rFonts w:asciiTheme="majorHAnsi" w:hAnsiTheme="majorHAnsi" w:cstheme="majorHAnsi"/>
        </w:rPr>
        <w:t>–</w:t>
      </w:r>
      <w:r w:rsidRPr="00191F4B">
        <w:rPr>
          <w:rFonts w:asciiTheme="majorHAnsi" w:hAnsiTheme="majorHAnsi" w:cstheme="majorHAnsi"/>
        </w:rPr>
        <w:t xml:space="preserve"> Část 2: Venkovní pracovní prostory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07 8304 Tlakové nádoby na </w:t>
      </w:r>
      <w:r w:rsidR="00320B26" w:rsidRPr="00191F4B">
        <w:rPr>
          <w:rFonts w:asciiTheme="majorHAnsi" w:hAnsiTheme="majorHAnsi" w:cstheme="majorHAnsi"/>
        </w:rPr>
        <w:t>plyny – Provozní</w:t>
      </w:r>
      <w:r w:rsidRPr="00191F4B">
        <w:rPr>
          <w:rFonts w:asciiTheme="majorHAnsi" w:hAnsiTheme="majorHAnsi" w:cstheme="majorHAnsi"/>
        </w:rPr>
        <w:t xml:space="preserve"> pravidla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>ČSN 38 6405 Plynová zařízení. Zásady provozu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</w:r>
      <w:r w:rsidRPr="00191F4B">
        <w:rPr>
          <w:rFonts w:asciiTheme="majorHAnsi" w:hAnsiTheme="majorHAnsi" w:cstheme="majorHAnsi"/>
        </w:rPr>
        <w:br/>
        <w:t>směrnice rady PED 2014/68/</w:t>
      </w:r>
      <w:r w:rsidR="00E427BD" w:rsidRPr="00191F4B">
        <w:rPr>
          <w:rFonts w:asciiTheme="majorHAnsi" w:hAnsiTheme="majorHAnsi" w:cstheme="majorHAnsi"/>
        </w:rPr>
        <w:t>EU – tlaková</w:t>
      </w:r>
      <w:r w:rsidRPr="00191F4B">
        <w:rPr>
          <w:rFonts w:asciiTheme="majorHAnsi" w:hAnsiTheme="majorHAnsi" w:cstheme="majorHAnsi"/>
        </w:rPr>
        <w:t xml:space="preserve"> zařízení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>vyhláška ČÚBP a ČBÚ č. 21/1979 Sb. v platném znění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>vyhláška ČÚBP č. 48/1982 Sb., v platném znění</w:t>
      </w:r>
      <w:r w:rsidR="00C01D74">
        <w:rPr>
          <w:rStyle w:val="Znakapoznpodarou"/>
          <w:rFonts w:asciiTheme="majorHAnsi" w:hAnsiTheme="majorHAnsi" w:cstheme="majorHAnsi"/>
        </w:rPr>
        <w:t>2</w:t>
      </w:r>
    </w:p>
    <w:p w14:paraId="0734497B" w14:textId="77777777" w:rsidR="00B067DF" w:rsidRPr="00191F4B" w:rsidRDefault="00B067DF" w:rsidP="00E427BD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191F4B" w:rsidRDefault="00B067DF" w:rsidP="00E427BD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191F4B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FC79" w14:textId="77777777" w:rsidR="006B3200" w:rsidRDefault="006B3200" w:rsidP="002C4725">
      <w:pPr>
        <w:spacing w:after="0" w:line="240" w:lineRule="auto"/>
      </w:pPr>
      <w:r>
        <w:separator/>
      </w:r>
    </w:p>
  </w:endnote>
  <w:endnote w:type="continuationSeparator" w:id="0">
    <w:p w14:paraId="44D185B6" w14:textId="77777777" w:rsidR="006B3200" w:rsidRDefault="006B3200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69A8B593">
          <wp:simplePos x="0" y="0"/>
          <wp:positionH relativeFrom="margin">
            <wp:align>center</wp:align>
          </wp:positionH>
          <wp:positionV relativeFrom="paragraph">
            <wp:posOffset>-476250</wp:posOffset>
          </wp:positionV>
          <wp:extent cx="2095500" cy="8572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433" cy="858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C4D4" w14:textId="77777777" w:rsidR="006B3200" w:rsidRDefault="006B3200" w:rsidP="002C4725">
      <w:pPr>
        <w:spacing w:after="0" w:line="240" w:lineRule="auto"/>
      </w:pPr>
      <w:r>
        <w:separator/>
      </w:r>
    </w:p>
  </w:footnote>
  <w:footnote w:type="continuationSeparator" w:id="0">
    <w:p w14:paraId="2B12A7DB" w14:textId="77777777" w:rsidR="006B3200" w:rsidRDefault="006B3200" w:rsidP="002C4725">
      <w:pPr>
        <w:spacing w:after="0" w:line="240" w:lineRule="auto"/>
      </w:pPr>
      <w:r>
        <w:continuationSeparator/>
      </w:r>
    </w:p>
  </w:footnote>
  <w:footnote w:id="1">
    <w:p w14:paraId="74552B2D" w14:textId="1C015B74" w:rsidR="004F7F97" w:rsidRPr="00123200" w:rsidRDefault="004F7F97">
      <w:pPr>
        <w:pStyle w:val="Textpoznpodarou"/>
        <w:rPr>
          <w:i/>
          <w:iCs/>
        </w:rPr>
      </w:pPr>
      <w:r w:rsidRPr="00123200">
        <w:rPr>
          <w:rStyle w:val="Znakapoznpodarou"/>
          <w:i/>
          <w:iCs/>
        </w:rPr>
        <w:footnoteRef/>
      </w:r>
      <w:r w:rsidRPr="00123200">
        <w:rPr>
          <w:i/>
          <w:iCs/>
        </w:rPr>
        <w:t xml:space="preserve"> </w:t>
      </w:r>
      <w:r w:rsidR="00D6344A" w:rsidRPr="00123200">
        <w:rPr>
          <w:i/>
          <w:iCs/>
        </w:rPr>
        <w:t xml:space="preserve">Zadavatel v souladu s </w:t>
      </w:r>
      <w:r w:rsidR="00423AC4" w:rsidRPr="00123200">
        <w:rPr>
          <w:i/>
          <w:iCs/>
        </w:rPr>
        <w:t>§ 90 odst. 3 ZZVZ</w:t>
      </w:r>
      <w:r w:rsidR="00B95F8D" w:rsidRPr="00123200">
        <w:rPr>
          <w:i/>
          <w:iCs/>
        </w:rPr>
        <w:t xml:space="preserve"> umožňuje nabídnout rovnocenné řešení</w:t>
      </w:r>
      <w:r w:rsidR="00D20A43" w:rsidRPr="00123200">
        <w:rPr>
          <w:i/>
          <w:iCs/>
        </w:rPr>
        <w:t>.</w:t>
      </w:r>
    </w:p>
  </w:footnote>
  <w:footnote w:id="2">
    <w:p w14:paraId="5E06E511" w14:textId="5A1969EC" w:rsidR="00C01D74" w:rsidRPr="00123200" w:rsidRDefault="00C01D74" w:rsidP="00C01D74">
      <w:pPr>
        <w:pStyle w:val="Textpoznpodarou"/>
        <w:rPr>
          <w:i/>
          <w:iCs/>
        </w:rPr>
      </w:pPr>
      <w:r w:rsidRPr="00123200">
        <w:rPr>
          <w:rStyle w:val="Znakapoznpodarou"/>
          <w:i/>
          <w:iCs/>
        </w:rPr>
        <w:footnoteRef/>
      </w:r>
      <w:r w:rsidRPr="00123200">
        <w:rPr>
          <w:i/>
          <w:iCs/>
        </w:rPr>
        <w:t xml:space="preserve"> Zadavatel v souladu s § 90 odst. 3 ZZVZ umožňuje nabídnout rovnocenné řešení</w:t>
      </w:r>
      <w:r w:rsidR="00D20A43" w:rsidRPr="00123200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7DE4F727" w:rsidR="003D2088" w:rsidRPr="000D388A" w:rsidRDefault="00C0725F" w:rsidP="000D388A">
    <w:pPr>
      <w:pStyle w:val="Zhlav"/>
    </w:pPr>
    <w:r w:rsidRPr="00BE6414">
      <w:rPr>
        <w:rFonts w:asciiTheme="majorHAnsi" w:hAnsiTheme="majorHAnsi" w:cstheme="majorHAnsi"/>
        <w:noProof/>
        <w:highlight w:val="yellow"/>
        <w:lang w:eastAsia="cs-CZ"/>
      </w:rPr>
      <w:drawing>
        <wp:inline distT="0" distB="0" distL="0" distR="0" wp14:anchorId="53EA941E" wp14:editId="728A1739">
          <wp:extent cx="5760720" cy="599440"/>
          <wp:effectExtent l="0" t="0" r="0" b="0"/>
          <wp:docPr id="95082776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E6CB7"/>
    <w:multiLevelType w:val="hybridMultilevel"/>
    <w:tmpl w:val="2390B4E2"/>
    <w:lvl w:ilvl="0" w:tplc="6ACC7B86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3442462E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 w:tplc="E2404866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05ECA1A6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00783C3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BF50DF9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5CC45B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1DC65D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57AFAF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F82E13"/>
    <w:multiLevelType w:val="multilevel"/>
    <w:tmpl w:val="9CC8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24998"/>
    <w:multiLevelType w:val="multilevel"/>
    <w:tmpl w:val="472C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84058"/>
    <w:multiLevelType w:val="multilevel"/>
    <w:tmpl w:val="5B2A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5749B"/>
    <w:multiLevelType w:val="multilevel"/>
    <w:tmpl w:val="738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D23D82"/>
    <w:multiLevelType w:val="multilevel"/>
    <w:tmpl w:val="C60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A3216F"/>
    <w:multiLevelType w:val="multilevel"/>
    <w:tmpl w:val="A89AA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28923588"/>
    <w:multiLevelType w:val="multilevel"/>
    <w:tmpl w:val="A84A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5F2EE0"/>
    <w:multiLevelType w:val="multilevel"/>
    <w:tmpl w:val="089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30BC4CCC"/>
    <w:multiLevelType w:val="multilevel"/>
    <w:tmpl w:val="E654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3676152B"/>
    <w:multiLevelType w:val="multilevel"/>
    <w:tmpl w:val="8CE2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3F734F4A"/>
    <w:multiLevelType w:val="hybridMultilevel"/>
    <w:tmpl w:val="25ACB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524A"/>
    <w:multiLevelType w:val="multilevel"/>
    <w:tmpl w:val="2FCE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4E3CC5"/>
    <w:multiLevelType w:val="multilevel"/>
    <w:tmpl w:val="0E44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DD7E78"/>
    <w:multiLevelType w:val="multilevel"/>
    <w:tmpl w:val="3F4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0" w15:restartNumberingAfterBreak="0">
    <w:nsid w:val="6A44078C"/>
    <w:multiLevelType w:val="hybridMultilevel"/>
    <w:tmpl w:val="50E48D3E"/>
    <w:lvl w:ilvl="0" w:tplc="B3D6BD72">
      <w:start w:val="10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3103"/>
    <w:multiLevelType w:val="multilevel"/>
    <w:tmpl w:val="FF9E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FA0C87"/>
    <w:multiLevelType w:val="multilevel"/>
    <w:tmpl w:val="92E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62274F"/>
    <w:multiLevelType w:val="multilevel"/>
    <w:tmpl w:val="86B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897F9D"/>
    <w:multiLevelType w:val="multilevel"/>
    <w:tmpl w:val="F27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1142649">
    <w:abstractNumId w:val="33"/>
  </w:num>
  <w:num w:numId="2" w16cid:durableId="1870872055">
    <w:abstractNumId w:val="12"/>
  </w:num>
  <w:num w:numId="3" w16cid:durableId="1865436534">
    <w:abstractNumId w:val="0"/>
  </w:num>
  <w:num w:numId="4" w16cid:durableId="463624772">
    <w:abstractNumId w:val="28"/>
  </w:num>
  <w:num w:numId="5" w16cid:durableId="1257441448">
    <w:abstractNumId w:val="22"/>
  </w:num>
  <w:num w:numId="6" w16cid:durableId="364059604">
    <w:abstractNumId w:val="22"/>
  </w:num>
  <w:num w:numId="7" w16cid:durableId="1391877543">
    <w:abstractNumId w:val="1"/>
  </w:num>
  <w:num w:numId="8" w16cid:durableId="420878894">
    <w:abstractNumId w:val="31"/>
  </w:num>
  <w:num w:numId="9" w16cid:durableId="2123255801">
    <w:abstractNumId w:val="11"/>
  </w:num>
  <w:num w:numId="10" w16cid:durableId="1018391038">
    <w:abstractNumId w:val="20"/>
  </w:num>
  <w:num w:numId="11" w16cid:durableId="1089034545">
    <w:abstractNumId w:val="18"/>
  </w:num>
  <w:num w:numId="12" w16cid:durableId="436677193">
    <w:abstractNumId w:val="29"/>
  </w:num>
  <w:num w:numId="13" w16cid:durableId="1570339101">
    <w:abstractNumId w:val="10"/>
  </w:num>
  <w:num w:numId="14" w16cid:durableId="79722023">
    <w:abstractNumId w:val="32"/>
  </w:num>
  <w:num w:numId="15" w16cid:durableId="947128482">
    <w:abstractNumId w:val="7"/>
  </w:num>
  <w:num w:numId="16" w16cid:durableId="894051979">
    <w:abstractNumId w:val="23"/>
  </w:num>
  <w:num w:numId="17" w16cid:durableId="470637597">
    <w:abstractNumId w:val="24"/>
  </w:num>
  <w:num w:numId="18" w16cid:durableId="415706899">
    <w:abstractNumId w:val="12"/>
  </w:num>
  <w:num w:numId="19" w16cid:durableId="1847859769">
    <w:abstractNumId w:val="33"/>
  </w:num>
  <w:num w:numId="20" w16cid:durableId="972322032">
    <w:abstractNumId w:val="16"/>
  </w:num>
  <w:num w:numId="21" w16cid:durableId="876891962">
    <w:abstractNumId w:val="2"/>
  </w:num>
  <w:num w:numId="22" w16cid:durableId="398867077">
    <w:abstractNumId w:val="33"/>
    <w:lvlOverride w:ilvl="0">
      <w:startOverride w:val="1"/>
    </w:lvlOverride>
  </w:num>
  <w:num w:numId="23" w16cid:durableId="2137215365">
    <w:abstractNumId w:val="15"/>
  </w:num>
  <w:num w:numId="24" w16cid:durableId="1870603317">
    <w:abstractNumId w:val="14"/>
  </w:num>
  <w:num w:numId="25" w16cid:durableId="44451832">
    <w:abstractNumId w:val="27"/>
  </w:num>
  <w:num w:numId="26" w16cid:durableId="1765766266">
    <w:abstractNumId w:val="9"/>
  </w:num>
  <w:num w:numId="27" w16cid:durableId="215439257">
    <w:abstractNumId w:val="5"/>
  </w:num>
  <w:num w:numId="28" w16cid:durableId="165289788">
    <w:abstractNumId w:val="34"/>
  </w:num>
  <w:num w:numId="29" w16cid:durableId="1955554760">
    <w:abstractNumId w:val="37"/>
  </w:num>
  <w:num w:numId="30" w16cid:durableId="1478104458">
    <w:abstractNumId w:val="35"/>
  </w:num>
  <w:num w:numId="31" w16cid:durableId="1601596406">
    <w:abstractNumId w:val="25"/>
  </w:num>
  <w:num w:numId="32" w16cid:durableId="1491171158">
    <w:abstractNumId w:val="13"/>
  </w:num>
  <w:num w:numId="33" w16cid:durableId="903103088">
    <w:abstractNumId w:val="6"/>
  </w:num>
  <w:num w:numId="34" w16cid:durableId="1490708352">
    <w:abstractNumId w:val="17"/>
  </w:num>
  <w:num w:numId="35" w16cid:durableId="1630895557">
    <w:abstractNumId w:val="4"/>
  </w:num>
  <w:num w:numId="36" w16cid:durableId="609820125">
    <w:abstractNumId w:val="8"/>
  </w:num>
  <w:num w:numId="37" w16cid:durableId="2120682219">
    <w:abstractNumId w:val="19"/>
  </w:num>
  <w:num w:numId="38" w16cid:durableId="1954046714">
    <w:abstractNumId w:val="36"/>
  </w:num>
  <w:num w:numId="39" w16cid:durableId="339813294">
    <w:abstractNumId w:val="26"/>
  </w:num>
  <w:num w:numId="40" w16cid:durableId="671565587">
    <w:abstractNumId w:val="30"/>
  </w:num>
  <w:num w:numId="41" w16cid:durableId="1762606066">
    <w:abstractNumId w:val="3"/>
  </w:num>
  <w:num w:numId="42" w16cid:durableId="164673977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oL+z6qLfV7RYVX91oWDRVMtaZV6ps3Tq4T4rytY0PhJx7hsTYJ3s2Gu1pqLbJyawQXFmr30uLx8i8ciEQjZZQ==" w:salt="c6zREFiISZ1tjpPkIg8A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ACD"/>
    <w:rsid w:val="00037BE2"/>
    <w:rsid w:val="000502B4"/>
    <w:rsid w:val="00072135"/>
    <w:rsid w:val="00074DDF"/>
    <w:rsid w:val="00082C5A"/>
    <w:rsid w:val="000A12C2"/>
    <w:rsid w:val="000A3A57"/>
    <w:rsid w:val="000B10D9"/>
    <w:rsid w:val="000B3E56"/>
    <w:rsid w:val="000B42C0"/>
    <w:rsid w:val="000D388A"/>
    <w:rsid w:val="000D3DCA"/>
    <w:rsid w:val="000D3E20"/>
    <w:rsid w:val="000E2167"/>
    <w:rsid w:val="000F2A07"/>
    <w:rsid w:val="00104F1B"/>
    <w:rsid w:val="00116CAC"/>
    <w:rsid w:val="00120E27"/>
    <w:rsid w:val="00123200"/>
    <w:rsid w:val="001303A9"/>
    <w:rsid w:val="00130843"/>
    <w:rsid w:val="00131A82"/>
    <w:rsid w:val="00143F21"/>
    <w:rsid w:val="00157738"/>
    <w:rsid w:val="0016147E"/>
    <w:rsid w:val="00175A21"/>
    <w:rsid w:val="00183B34"/>
    <w:rsid w:val="00186144"/>
    <w:rsid w:val="0018712C"/>
    <w:rsid w:val="00191F4B"/>
    <w:rsid w:val="00195D10"/>
    <w:rsid w:val="001A3941"/>
    <w:rsid w:val="001B7CEE"/>
    <w:rsid w:val="001C10AB"/>
    <w:rsid w:val="001C2DC2"/>
    <w:rsid w:val="001C7496"/>
    <w:rsid w:val="001D4142"/>
    <w:rsid w:val="001F0853"/>
    <w:rsid w:val="001F38FD"/>
    <w:rsid w:val="001F626F"/>
    <w:rsid w:val="0022176A"/>
    <w:rsid w:val="00267824"/>
    <w:rsid w:val="00273B04"/>
    <w:rsid w:val="00274DC0"/>
    <w:rsid w:val="00280087"/>
    <w:rsid w:val="00281E4D"/>
    <w:rsid w:val="002847A7"/>
    <w:rsid w:val="00294B1C"/>
    <w:rsid w:val="002A4066"/>
    <w:rsid w:val="002B5E4B"/>
    <w:rsid w:val="002C2BF7"/>
    <w:rsid w:val="002C4725"/>
    <w:rsid w:val="002D727F"/>
    <w:rsid w:val="002E1840"/>
    <w:rsid w:val="002E4FA1"/>
    <w:rsid w:val="002F1AF3"/>
    <w:rsid w:val="002F311B"/>
    <w:rsid w:val="002F6420"/>
    <w:rsid w:val="002F739C"/>
    <w:rsid w:val="003006F3"/>
    <w:rsid w:val="003145E3"/>
    <w:rsid w:val="00316023"/>
    <w:rsid w:val="00316583"/>
    <w:rsid w:val="00320B26"/>
    <w:rsid w:val="00336481"/>
    <w:rsid w:val="00351A75"/>
    <w:rsid w:val="00355956"/>
    <w:rsid w:val="00360120"/>
    <w:rsid w:val="003614FA"/>
    <w:rsid w:val="00361D9A"/>
    <w:rsid w:val="003823F4"/>
    <w:rsid w:val="003834B6"/>
    <w:rsid w:val="00385F31"/>
    <w:rsid w:val="00393720"/>
    <w:rsid w:val="003A28CB"/>
    <w:rsid w:val="003A5D06"/>
    <w:rsid w:val="003C6F65"/>
    <w:rsid w:val="003D2088"/>
    <w:rsid w:val="003D6933"/>
    <w:rsid w:val="003D6DD0"/>
    <w:rsid w:val="003F0F2F"/>
    <w:rsid w:val="003F121F"/>
    <w:rsid w:val="003F1F18"/>
    <w:rsid w:val="003F660A"/>
    <w:rsid w:val="00402441"/>
    <w:rsid w:val="00403C75"/>
    <w:rsid w:val="00404E76"/>
    <w:rsid w:val="00413BCC"/>
    <w:rsid w:val="00423AC4"/>
    <w:rsid w:val="00427539"/>
    <w:rsid w:val="00430CB5"/>
    <w:rsid w:val="0043296C"/>
    <w:rsid w:val="00437F3F"/>
    <w:rsid w:val="004524C6"/>
    <w:rsid w:val="00452B68"/>
    <w:rsid w:val="00453DD0"/>
    <w:rsid w:val="00457C1C"/>
    <w:rsid w:val="00474F9E"/>
    <w:rsid w:val="00474FAC"/>
    <w:rsid w:val="00476C99"/>
    <w:rsid w:val="00494E93"/>
    <w:rsid w:val="004B0B9F"/>
    <w:rsid w:val="004B3047"/>
    <w:rsid w:val="004B6AE8"/>
    <w:rsid w:val="004C07D9"/>
    <w:rsid w:val="004C50C1"/>
    <w:rsid w:val="004F7AE2"/>
    <w:rsid w:val="004F7F97"/>
    <w:rsid w:val="00502F3E"/>
    <w:rsid w:val="005056B7"/>
    <w:rsid w:val="005163DD"/>
    <w:rsid w:val="0052407C"/>
    <w:rsid w:val="005321A0"/>
    <w:rsid w:val="0055358D"/>
    <w:rsid w:val="00564849"/>
    <w:rsid w:val="00583ABB"/>
    <w:rsid w:val="0059544E"/>
    <w:rsid w:val="005A375F"/>
    <w:rsid w:val="005D3808"/>
    <w:rsid w:val="005D53C2"/>
    <w:rsid w:val="005D66AA"/>
    <w:rsid w:val="005E594D"/>
    <w:rsid w:val="005E7177"/>
    <w:rsid w:val="005F350C"/>
    <w:rsid w:val="006035FE"/>
    <w:rsid w:val="006111A1"/>
    <w:rsid w:val="0063433E"/>
    <w:rsid w:val="006365AF"/>
    <w:rsid w:val="006432B7"/>
    <w:rsid w:val="006635D2"/>
    <w:rsid w:val="00694C0A"/>
    <w:rsid w:val="006A51E9"/>
    <w:rsid w:val="006B162B"/>
    <w:rsid w:val="006B3200"/>
    <w:rsid w:val="006C1405"/>
    <w:rsid w:val="006C64E7"/>
    <w:rsid w:val="006C77CF"/>
    <w:rsid w:val="006C78F5"/>
    <w:rsid w:val="006F2974"/>
    <w:rsid w:val="006F3884"/>
    <w:rsid w:val="00700C7E"/>
    <w:rsid w:val="00712BC9"/>
    <w:rsid w:val="00716AFF"/>
    <w:rsid w:val="00717896"/>
    <w:rsid w:val="00722CDE"/>
    <w:rsid w:val="007244DA"/>
    <w:rsid w:val="00725DE7"/>
    <w:rsid w:val="00733C50"/>
    <w:rsid w:val="007442A1"/>
    <w:rsid w:val="00763788"/>
    <w:rsid w:val="00775992"/>
    <w:rsid w:val="00785BB8"/>
    <w:rsid w:val="007913D3"/>
    <w:rsid w:val="00794A6B"/>
    <w:rsid w:val="007B3E1B"/>
    <w:rsid w:val="007C1910"/>
    <w:rsid w:val="007D4F88"/>
    <w:rsid w:val="007E078A"/>
    <w:rsid w:val="007E4A4C"/>
    <w:rsid w:val="007E5031"/>
    <w:rsid w:val="007E5840"/>
    <w:rsid w:val="007F39B6"/>
    <w:rsid w:val="007F73AC"/>
    <w:rsid w:val="00811633"/>
    <w:rsid w:val="00812B87"/>
    <w:rsid w:val="008138E5"/>
    <w:rsid w:val="008179A1"/>
    <w:rsid w:val="00827468"/>
    <w:rsid w:val="008309D1"/>
    <w:rsid w:val="0083788E"/>
    <w:rsid w:val="008673D8"/>
    <w:rsid w:val="00881CC7"/>
    <w:rsid w:val="00886362"/>
    <w:rsid w:val="008A5046"/>
    <w:rsid w:val="008C31B0"/>
    <w:rsid w:val="008C45B9"/>
    <w:rsid w:val="008E5E67"/>
    <w:rsid w:val="008E6429"/>
    <w:rsid w:val="008E64B8"/>
    <w:rsid w:val="008F3E3E"/>
    <w:rsid w:val="00912BF1"/>
    <w:rsid w:val="009160DB"/>
    <w:rsid w:val="00917068"/>
    <w:rsid w:val="00931160"/>
    <w:rsid w:val="00934F2C"/>
    <w:rsid w:val="00944A1C"/>
    <w:rsid w:val="009514D4"/>
    <w:rsid w:val="00993A33"/>
    <w:rsid w:val="009974C4"/>
    <w:rsid w:val="009A5C04"/>
    <w:rsid w:val="009B67B4"/>
    <w:rsid w:val="009B7883"/>
    <w:rsid w:val="009C64B4"/>
    <w:rsid w:val="009F161B"/>
    <w:rsid w:val="00A3663E"/>
    <w:rsid w:val="00A57B7D"/>
    <w:rsid w:val="00A65103"/>
    <w:rsid w:val="00A66C31"/>
    <w:rsid w:val="00AB785B"/>
    <w:rsid w:val="00AC4E5A"/>
    <w:rsid w:val="00AD647D"/>
    <w:rsid w:val="00AE3343"/>
    <w:rsid w:val="00AF25BE"/>
    <w:rsid w:val="00AF4FAD"/>
    <w:rsid w:val="00AF68BE"/>
    <w:rsid w:val="00B067DF"/>
    <w:rsid w:val="00B527F4"/>
    <w:rsid w:val="00B53BD8"/>
    <w:rsid w:val="00B56A03"/>
    <w:rsid w:val="00B95F8D"/>
    <w:rsid w:val="00BA141F"/>
    <w:rsid w:val="00BB0A00"/>
    <w:rsid w:val="00BB1D88"/>
    <w:rsid w:val="00BC005C"/>
    <w:rsid w:val="00BE0309"/>
    <w:rsid w:val="00BF318F"/>
    <w:rsid w:val="00BF4D9C"/>
    <w:rsid w:val="00BF71BE"/>
    <w:rsid w:val="00C01C47"/>
    <w:rsid w:val="00C01D74"/>
    <w:rsid w:val="00C0725F"/>
    <w:rsid w:val="00C16997"/>
    <w:rsid w:val="00C23834"/>
    <w:rsid w:val="00C26691"/>
    <w:rsid w:val="00C4150D"/>
    <w:rsid w:val="00C70411"/>
    <w:rsid w:val="00C7178C"/>
    <w:rsid w:val="00C72A8D"/>
    <w:rsid w:val="00C76BAC"/>
    <w:rsid w:val="00C90A62"/>
    <w:rsid w:val="00C9117D"/>
    <w:rsid w:val="00CA0C4C"/>
    <w:rsid w:val="00CA6FCB"/>
    <w:rsid w:val="00CB0548"/>
    <w:rsid w:val="00CB2191"/>
    <w:rsid w:val="00CB741E"/>
    <w:rsid w:val="00CC398E"/>
    <w:rsid w:val="00CD1ADC"/>
    <w:rsid w:val="00CD39FA"/>
    <w:rsid w:val="00CE111F"/>
    <w:rsid w:val="00CE184D"/>
    <w:rsid w:val="00CE5CDF"/>
    <w:rsid w:val="00D20A43"/>
    <w:rsid w:val="00D21B3A"/>
    <w:rsid w:val="00D22DCA"/>
    <w:rsid w:val="00D41B25"/>
    <w:rsid w:val="00D41F6D"/>
    <w:rsid w:val="00D517E1"/>
    <w:rsid w:val="00D6344A"/>
    <w:rsid w:val="00D66743"/>
    <w:rsid w:val="00D758DB"/>
    <w:rsid w:val="00D807E6"/>
    <w:rsid w:val="00DA2467"/>
    <w:rsid w:val="00DD01E9"/>
    <w:rsid w:val="00DF780E"/>
    <w:rsid w:val="00E00962"/>
    <w:rsid w:val="00E015CF"/>
    <w:rsid w:val="00E046B0"/>
    <w:rsid w:val="00E1360B"/>
    <w:rsid w:val="00E427BD"/>
    <w:rsid w:val="00E53B16"/>
    <w:rsid w:val="00E54BD7"/>
    <w:rsid w:val="00E65E02"/>
    <w:rsid w:val="00E84F9B"/>
    <w:rsid w:val="00E86F2A"/>
    <w:rsid w:val="00E94454"/>
    <w:rsid w:val="00E97905"/>
    <w:rsid w:val="00EA06C0"/>
    <w:rsid w:val="00EA16F3"/>
    <w:rsid w:val="00EC6D81"/>
    <w:rsid w:val="00ED4AEC"/>
    <w:rsid w:val="00EE07E3"/>
    <w:rsid w:val="00EE2E83"/>
    <w:rsid w:val="00EE7B29"/>
    <w:rsid w:val="00EF2A2A"/>
    <w:rsid w:val="00F038FF"/>
    <w:rsid w:val="00F118E1"/>
    <w:rsid w:val="00F13430"/>
    <w:rsid w:val="00F1508C"/>
    <w:rsid w:val="00F35164"/>
    <w:rsid w:val="00F615D7"/>
    <w:rsid w:val="00F651D9"/>
    <w:rsid w:val="00F6706F"/>
    <w:rsid w:val="00F72D7A"/>
    <w:rsid w:val="00F748EC"/>
    <w:rsid w:val="00F76B2F"/>
    <w:rsid w:val="00F84153"/>
    <w:rsid w:val="00FA4541"/>
    <w:rsid w:val="00FF07F3"/>
    <w:rsid w:val="00FF1318"/>
    <w:rsid w:val="00FF7263"/>
    <w:rsid w:val="01F46585"/>
    <w:rsid w:val="07EB86B0"/>
    <w:rsid w:val="1BD4B624"/>
    <w:rsid w:val="1C8C062B"/>
    <w:rsid w:val="349C987B"/>
    <w:rsid w:val="411F7F33"/>
    <w:rsid w:val="4D7A93C3"/>
    <w:rsid w:val="4DB67052"/>
    <w:rsid w:val="51B3F264"/>
    <w:rsid w:val="54A9FA29"/>
    <w:rsid w:val="558411F4"/>
    <w:rsid w:val="55F87E76"/>
    <w:rsid w:val="5FE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paragraph">
    <w:name w:val="paragraph"/>
    <w:basedOn w:val="Normln"/>
    <w:rsid w:val="00EE7B2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EE7B29"/>
  </w:style>
  <w:style w:type="character" w:customStyle="1" w:styleId="eop">
    <w:name w:val="eop"/>
    <w:basedOn w:val="Standardnpsmoodstavce"/>
    <w:rsid w:val="00EE7B29"/>
  </w:style>
  <w:style w:type="character" w:customStyle="1" w:styleId="scxw260898088">
    <w:name w:val="scxw260898088"/>
    <w:basedOn w:val="Standardnpsmoodstavce"/>
    <w:rsid w:val="00EE7B29"/>
  </w:style>
  <w:style w:type="paragraph" w:styleId="Revize">
    <w:name w:val="Revision"/>
    <w:hidden/>
    <w:uiPriority w:val="99"/>
    <w:semiHidden/>
    <w:rsid w:val="00D807E6"/>
    <w:pPr>
      <w:spacing w:after="0" w:line="240" w:lineRule="auto"/>
    </w:pPr>
  </w:style>
  <w:style w:type="character" w:customStyle="1" w:styleId="ui-provider">
    <w:name w:val="ui-provider"/>
    <w:basedOn w:val="Standardnpsmoodstavce"/>
    <w:rsid w:val="008C31B0"/>
  </w:style>
  <w:style w:type="character" w:customStyle="1" w:styleId="cf01">
    <w:name w:val="cf01"/>
    <w:basedOn w:val="Standardnpsmoodstavce"/>
    <w:rsid w:val="00F150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3ACD"/>
    <w:rsid w:val="000C6C17"/>
    <w:rsid w:val="00113F40"/>
    <w:rsid w:val="00147144"/>
    <w:rsid w:val="00281E4D"/>
    <w:rsid w:val="002B6121"/>
    <w:rsid w:val="002E4FA1"/>
    <w:rsid w:val="003051D9"/>
    <w:rsid w:val="003145E3"/>
    <w:rsid w:val="0040176F"/>
    <w:rsid w:val="0043296C"/>
    <w:rsid w:val="00453BBE"/>
    <w:rsid w:val="004E00EB"/>
    <w:rsid w:val="00502F3E"/>
    <w:rsid w:val="00542704"/>
    <w:rsid w:val="00580561"/>
    <w:rsid w:val="005A1AAC"/>
    <w:rsid w:val="00651A9B"/>
    <w:rsid w:val="006749E0"/>
    <w:rsid w:val="00733338"/>
    <w:rsid w:val="00741EBD"/>
    <w:rsid w:val="0081359D"/>
    <w:rsid w:val="00836FE6"/>
    <w:rsid w:val="00865CAD"/>
    <w:rsid w:val="008E64B8"/>
    <w:rsid w:val="00945CAF"/>
    <w:rsid w:val="009A3103"/>
    <w:rsid w:val="00A10168"/>
    <w:rsid w:val="00A3663E"/>
    <w:rsid w:val="00B67AAD"/>
    <w:rsid w:val="00BB1C9C"/>
    <w:rsid w:val="00BF2D57"/>
    <w:rsid w:val="00DF190A"/>
    <w:rsid w:val="00EE65B4"/>
    <w:rsid w:val="00F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51D9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7" ma:contentTypeDescription="Vytvoří nový dokument" ma:contentTypeScope="" ma:versionID="dba09fec82897a052c0e2231542804d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855f81eced113d1574476707f9a9fd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5BA1EBEC-F022-435F-96DA-C0D53B47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57</TotalTime>
  <Pages>8</Pages>
  <Words>2859</Words>
  <Characters>16871</Characters>
  <Application>Microsoft Office Word</Application>
  <DocSecurity>0</DocSecurity>
  <Lines>140</Lines>
  <Paragraphs>39</Paragraphs>
  <ScaleCrop>false</ScaleCrop>
  <Company>TENDERA partners, s.r.o.</Company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30</cp:revision>
  <cp:lastPrinted>2025-05-05T08:37:00Z</cp:lastPrinted>
  <dcterms:created xsi:type="dcterms:W3CDTF">2023-10-04T08:46:00Z</dcterms:created>
  <dcterms:modified xsi:type="dcterms:W3CDTF">2025-05-05T08:37:00Z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