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1CEF" w14:textId="48A50624" w:rsidR="00AC550D" w:rsidRDefault="00AC550D" w:rsidP="00E8010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65AD0">
        <w:rPr>
          <w:rFonts w:asciiTheme="majorHAnsi" w:hAnsiTheme="majorHAnsi" w:cstheme="majorHAnsi"/>
          <w:b/>
          <w:sz w:val="28"/>
          <w:szCs w:val="28"/>
        </w:rPr>
        <w:t>DOHODA O MLČENLIVOSTI, OCHRANĚ INFORMACÍ A ZÁKAZU JEJICH ZNEUŽITÍ</w:t>
      </w:r>
    </w:p>
    <w:p w14:paraId="4D29E457" w14:textId="49689983" w:rsidR="00DA4710" w:rsidRPr="00E42AD4" w:rsidRDefault="003A0C64" w:rsidP="00DA4710">
      <w:pPr>
        <w:widowControl w:val="0"/>
        <w:spacing w:after="12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 veřejné zakázce</w:t>
      </w:r>
      <w:r w:rsidR="00DA4710" w:rsidRPr="00E42AD4">
        <w:rPr>
          <w:rFonts w:ascii="Calibri Light" w:hAnsi="Calibri Light" w:cs="Calibri Light"/>
        </w:rPr>
        <w:t>:</w:t>
      </w:r>
    </w:p>
    <w:p w14:paraId="5B29AA1B" w14:textId="77777777" w:rsidR="00DA4710" w:rsidRPr="005D3623" w:rsidRDefault="00DA4710" w:rsidP="00DA4710">
      <w:pPr>
        <w:widowControl w:val="0"/>
        <w:spacing w:after="120"/>
        <w:jc w:val="center"/>
        <w:rPr>
          <w:rFonts w:ascii="Calibri Light" w:hAnsi="Calibri Light" w:cs="Calibri Light"/>
          <w:b/>
          <w:bCs/>
        </w:rPr>
      </w:pPr>
      <w:r w:rsidRPr="00E42AD4">
        <w:rPr>
          <w:rFonts w:ascii="Calibri Light" w:hAnsi="Calibri Light" w:cs="Calibri Light"/>
          <w:b/>
          <w:bCs/>
        </w:rPr>
        <w:t>„</w:t>
      </w:r>
      <w:r w:rsidRPr="00E42AD4">
        <w:rPr>
          <w:rFonts w:ascii="Calibri Light" w:hAnsi="Calibri Light" w:cs="Calibri Light"/>
          <w:b/>
          <w:sz w:val="24"/>
        </w:rPr>
        <w:t>Kontinuálně aplikované povrchy pultruzních polymerů</w:t>
      </w:r>
      <w:r w:rsidRPr="00E42AD4">
        <w:rPr>
          <w:rFonts w:ascii="Calibri Light" w:hAnsi="Calibri Light" w:cs="Calibri Light"/>
          <w:b/>
          <w:bCs/>
        </w:rPr>
        <w:t>“</w:t>
      </w:r>
    </w:p>
    <w:p w14:paraId="7DE95E27" w14:textId="4181FDA5" w:rsidR="00DA4710" w:rsidRPr="00A65AD0" w:rsidRDefault="0048687E" w:rsidP="00E8010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42AD4">
        <w:rPr>
          <w:rFonts w:ascii="Calibri Light" w:hAnsi="Calibri Light" w:cs="Calibri Light"/>
        </w:rPr>
        <w:t xml:space="preserve">zadávané ve zjednodušeném podlimitním řízení podle ustanovení § 53 zákona č. 134/2016 Sb., o zadávání veřejných zakázek (dále jen jako </w:t>
      </w:r>
      <w:r w:rsidRPr="00E42AD4">
        <w:rPr>
          <w:rFonts w:ascii="Calibri Light" w:hAnsi="Calibri Light" w:cs="Calibri Light"/>
          <w:b/>
          <w:bCs/>
        </w:rPr>
        <w:t>„ZZVZ“</w:t>
      </w:r>
      <w:r w:rsidRPr="00E42AD4">
        <w:rPr>
          <w:rFonts w:ascii="Calibri Light" w:hAnsi="Calibri Light" w:cs="Calibri Light"/>
        </w:rPr>
        <w:t>)</w:t>
      </w:r>
      <w:r w:rsidRPr="005D3623">
        <w:rPr>
          <w:rFonts w:ascii="Calibri Light" w:hAnsi="Calibri Light" w:cs="Calibri Light"/>
        </w:rPr>
        <w:t xml:space="preserve"> </w:t>
      </w:r>
      <w:r w:rsidRPr="005D3623">
        <w:rPr>
          <w:rStyle w:val="Siln"/>
          <w:rFonts w:ascii="Calibri Light" w:hAnsi="Calibri Light" w:cs="Calibri Light"/>
          <w:b w:val="0"/>
        </w:rPr>
        <w:t>v rámci stejnojmenného projektu spolufinancovaného z</w:t>
      </w:r>
      <w:r w:rsidRPr="005D3623">
        <w:rPr>
          <w:rStyle w:val="Siln"/>
          <w:rFonts w:ascii="Calibri Light" w:hAnsi="Calibri Light" w:cs="Calibri Light"/>
        </w:rPr>
        <w:t> </w:t>
      </w:r>
      <w:r w:rsidRPr="005D3623">
        <w:rPr>
          <w:rFonts w:ascii="Calibri Light" w:hAnsi="Calibri Light" w:cs="Calibri Light"/>
          <w:bCs/>
        </w:rPr>
        <w:t xml:space="preserve">Operačního programu Podnikání a inovace pro konkurenceschopnost, program Aplikace, </w:t>
      </w:r>
      <w:r w:rsidRPr="00E42AD4">
        <w:rPr>
          <w:rFonts w:ascii="Calibri Light" w:hAnsi="Calibri Light" w:cs="Calibri Light"/>
          <w:bCs/>
        </w:rPr>
        <w:t xml:space="preserve">Výzva VIII. s názvem projektu: </w:t>
      </w:r>
      <w:r w:rsidRPr="00E42AD4">
        <w:rPr>
          <w:rFonts w:ascii="Calibri Light" w:hAnsi="Calibri Light" w:cs="Calibri Light"/>
          <w:b/>
        </w:rPr>
        <w:t>„Kontinuálně aplikované povrchy pultruzních polymerů“</w:t>
      </w:r>
      <w:r w:rsidRPr="00E42AD4">
        <w:rPr>
          <w:rFonts w:ascii="Calibri Light" w:hAnsi="Calibri Light" w:cs="Calibri Light"/>
          <w:bCs/>
        </w:rPr>
        <w:t>, registrační číslo projektu: CZ.01.1.02/0.0/0.0/20_321/0023966</w:t>
      </w:r>
    </w:p>
    <w:p w14:paraId="24A87B0A" w14:textId="77777777" w:rsidR="00635CC5" w:rsidRDefault="00635CC5" w:rsidP="00AC550D">
      <w:pPr>
        <w:spacing w:line="240" w:lineRule="auto"/>
        <w:rPr>
          <w:rFonts w:asciiTheme="majorHAnsi" w:hAnsiTheme="majorHAnsi" w:cstheme="majorHAnsi"/>
          <w:b/>
        </w:rPr>
      </w:pPr>
    </w:p>
    <w:p w14:paraId="08371133" w14:textId="44BD13AC" w:rsidR="003B3851" w:rsidRPr="00A65AD0" w:rsidRDefault="00121301" w:rsidP="00AC550D">
      <w:pPr>
        <w:spacing w:line="240" w:lineRule="auto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  <w:b/>
        </w:rPr>
        <w:t>GDP KORAL, s.r.o.</w:t>
      </w:r>
    </w:p>
    <w:p w14:paraId="593AE03E" w14:textId="7607E05C" w:rsidR="003B3851" w:rsidRPr="00A65AD0" w:rsidRDefault="003B3851" w:rsidP="00AC550D">
      <w:pPr>
        <w:spacing w:line="240" w:lineRule="auto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sídlem:</w:t>
      </w:r>
      <w:r w:rsidR="00E27079" w:rsidRPr="00A65AD0">
        <w:rPr>
          <w:rFonts w:asciiTheme="majorHAnsi" w:hAnsiTheme="majorHAnsi" w:cstheme="majorHAnsi"/>
        </w:rPr>
        <w:t xml:space="preserve"> </w:t>
      </w:r>
      <w:bookmarkStart w:id="0" w:name="_Hlk113355741"/>
      <w:r w:rsidR="00E27079" w:rsidRPr="00A65AD0">
        <w:rPr>
          <w:rFonts w:asciiTheme="majorHAnsi" w:eastAsia="Times New Roman" w:hAnsiTheme="majorHAnsi" w:cstheme="majorHAnsi"/>
        </w:rPr>
        <w:t>Za Mlýnem 5, 666 01 Tišnov</w:t>
      </w:r>
      <w:bookmarkEnd w:id="0"/>
    </w:p>
    <w:p w14:paraId="2C763320" w14:textId="4DFCF853" w:rsidR="003B3851" w:rsidRPr="00A65AD0" w:rsidRDefault="00AC550D" w:rsidP="00AC550D">
      <w:pPr>
        <w:spacing w:line="240" w:lineRule="auto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IČ</w:t>
      </w:r>
      <w:r w:rsidR="007F3D20">
        <w:rPr>
          <w:rFonts w:asciiTheme="majorHAnsi" w:hAnsiTheme="majorHAnsi" w:cstheme="majorHAnsi"/>
        </w:rPr>
        <w:t>O</w:t>
      </w:r>
      <w:r w:rsidRPr="00A65AD0">
        <w:rPr>
          <w:rFonts w:asciiTheme="majorHAnsi" w:hAnsiTheme="majorHAnsi" w:cstheme="majorHAnsi"/>
        </w:rPr>
        <w:t xml:space="preserve">: </w:t>
      </w:r>
      <w:r w:rsidR="00CC485C" w:rsidRPr="00A65AD0">
        <w:rPr>
          <w:rFonts w:asciiTheme="majorHAnsi" w:eastAsia="Times New Roman" w:hAnsiTheme="majorHAnsi" w:cstheme="majorHAnsi"/>
        </w:rPr>
        <w:t>27663256</w:t>
      </w:r>
    </w:p>
    <w:p w14:paraId="68AFA0D2" w14:textId="229BBDD5" w:rsidR="00AC550D" w:rsidRPr="00A65AD0" w:rsidRDefault="00AC550D" w:rsidP="00AC550D">
      <w:pPr>
        <w:spacing w:line="240" w:lineRule="auto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zastoupená</w:t>
      </w:r>
      <w:r w:rsidR="003B3851" w:rsidRPr="00A65AD0">
        <w:rPr>
          <w:rFonts w:asciiTheme="majorHAnsi" w:hAnsiTheme="majorHAnsi" w:cstheme="majorHAnsi"/>
        </w:rPr>
        <w:t>:</w:t>
      </w:r>
      <w:r w:rsidR="00530CBB" w:rsidRPr="00A65AD0">
        <w:rPr>
          <w:rFonts w:asciiTheme="majorHAnsi" w:hAnsiTheme="majorHAnsi" w:cstheme="majorHAnsi"/>
        </w:rPr>
        <w:t xml:space="preserve"> </w:t>
      </w:r>
      <w:r w:rsidR="00530CBB" w:rsidRPr="00A65AD0">
        <w:rPr>
          <w:rFonts w:asciiTheme="majorHAnsi" w:eastAsia="Times New Roman" w:hAnsiTheme="majorHAnsi" w:cstheme="majorHAnsi"/>
        </w:rPr>
        <w:t>Ing. Radim Buček, MBA, jednatel</w:t>
      </w:r>
    </w:p>
    <w:p w14:paraId="4AD79C97" w14:textId="77777777" w:rsidR="00AC550D" w:rsidRPr="00A65AD0" w:rsidRDefault="00AC550D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(na straně jedné jako </w:t>
      </w:r>
      <w:r w:rsidRPr="00D966A4">
        <w:rPr>
          <w:rFonts w:asciiTheme="majorHAnsi" w:hAnsiTheme="majorHAnsi" w:cstheme="majorHAnsi"/>
          <w:b/>
          <w:bCs/>
        </w:rPr>
        <w:t>oprávněný</w:t>
      </w:r>
      <w:r w:rsidRPr="00A65AD0">
        <w:rPr>
          <w:rFonts w:asciiTheme="majorHAnsi" w:hAnsiTheme="majorHAnsi" w:cstheme="majorHAnsi"/>
        </w:rPr>
        <w:t>)</w:t>
      </w:r>
    </w:p>
    <w:p w14:paraId="4C9F1F5A" w14:textId="77777777" w:rsidR="00AC550D" w:rsidRPr="00A65AD0" w:rsidRDefault="00AC550D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a</w:t>
      </w:r>
    </w:p>
    <w:p w14:paraId="523A44F7" w14:textId="334EFC38" w:rsidR="003B3851" w:rsidRPr="00A65AD0" w:rsidRDefault="00AC550D" w:rsidP="00AC550D">
      <w:pPr>
        <w:rPr>
          <w:rFonts w:asciiTheme="majorHAnsi" w:hAnsiTheme="majorHAnsi" w:cstheme="majorHAnsi"/>
        </w:rPr>
      </w:pPr>
      <w:r w:rsidRPr="00106979">
        <w:rPr>
          <w:rFonts w:asciiTheme="majorHAnsi" w:hAnsiTheme="majorHAnsi" w:cstheme="majorHAns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06979">
        <w:rPr>
          <w:rFonts w:asciiTheme="majorHAnsi" w:hAnsiTheme="majorHAnsi" w:cstheme="majorHAnsi"/>
          <w:highlight w:val="yellow"/>
        </w:rPr>
        <w:instrText xml:space="preserve"> FORMTEXT </w:instrText>
      </w:r>
      <w:r w:rsidRPr="00106979">
        <w:rPr>
          <w:rFonts w:asciiTheme="majorHAnsi" w:hAnsiTheme="majorHAnsi" w:cstheme="majorHAnsi"/>
          <w:highlight w:val="yellow"/>
        </w:rPr>
      </w:r>
      <w:r w:rsidRPr="00106979">
        <w:rPr>
          <w:rFonts w:asciiTheme="majorHAnsi" w:hAnsiTheme="majorHAnsi" w:cstheme="majorHAnsi"/>
          <w:highlight w:val="yellow"/>
        </w:rPr>
        <w:fldChar w:fldCharType="separate"/>
      </w:r>
      <w:r w:rsidRPr="00106979">
        <w:rPr>
          <w:rFonts w:asciiTheme="majorHAnsi" w:hAnsiTheme="majorHAnsi" w:cstheme="majorHAnsi"/>
          <w:highlight w:val="yellow"/>
        </w:rPr>
        <w:t> </w:t>
      </w:r>
      <w:r w:rsidRPr="00106979">
        <w:rPr>
          <w:rFonts w:asciiTheme="majorHAnsi" w:hAnsiTheme="majorHAnsi" w:cstheme="majorHAnsi"/>
          <w:highlight w:val="yellow"/>
        </w:rPr>
        <w:t> </w:t>
      </w:r>
      <w:r w:rsidRPr="00106979">
        <w:rPr>
          <w:rFonts w:asciiTheme="majorHAnsi" w:hAnsiTheme="majorHAnsi" w:cstheme="majorHAnsi"/>
          <w:highlight w:val="yellow"/>
        </w:rPr>
        <w:t> </w:t>
      </w:r>
      <w:r w:rsidRPr="00106979">
        <w:rPr>
          <w:rFonts w:asciiTheme="majorHAnsi" w:hAnsiTheme="majorHAnsi" w:cstheme="majorHAnsi"/>
          <w:highlight w:val="yellow"/>
        </w:rPr>
        <w:t> </w:t>
      </w:r>
      <w:r w:rsidRPr="00106979">
        <w:rPr>
          <w:rFonts w:asciiTheme="majorHAnsi" w:hAnsiTheme="majorHAnsi" w:cstheme="majorHAnsi"/>
          <w:highlight w:val="yellow"/>
        </w:rPr>
        <w:t> </w:t>
      </w:r>
      <w:r w:rsidRPr="00106979">
        <w:rPr>
          <w:rFonts w:asciiTheme="majorHAnsi" w:hAnsiTheme="majorHAnsi" w:cstheme="majorHAnsi"/>
          <w:highlight w:val="yellow"/>
        </w:rPr>
        <w:fldChar w:fldCharType="end"/>
      </w:r>
      <w:bookmarkEnd w:id="1"/>
    </w:p>
    <w:p w14:paraId="0F829903" w14:textId="2BF1FBF3" w:rsidR="00AC550D" w:rsidRPr="00A65AD0" w:rsidRDefault="00AC550D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sídlem</w:t>
      </w:r>
      <w:r w:rsidR="003B3851" w:rsidRPr="00A65AD0">
        <w:rPr>
          <w:rFonts w:asciiTheme="majorHAnsi" w:hAnsiTheme="majorHAnsi" w:cstheme="majorHAnsi"/>
        </w:rPr>
        <w:t>:</w:t>
      </w:r>
      <w:r w:rsidRPr="00A65AD0">
        <w:rPr>
          <w:rFonts w:asciiTheme="majorHAnsi" w:hAnsiTheme="majorHAnsi" w:cstheme="majorHAnsi"/>
        </w:rPr>
        <w:t xml:space="preserve"> </w:t>
      </w:r>
      <w:r w:rsidR="002B05A7">
        <w:rPr>
          <w:rFonts w:asciiTheme="majorHAnsi" w:hAnsiTheme="majorHAnsi" w:cstheme="majorHAnsi"/>
        </w:rPr>
        <w:tab/>
      </w:r>
      <w:r w:rsidRPr="00106979">
        <w:rPr>
          <w:rFonts w:asciiTheme="majorHAnsi" w:hAnsiTheme="majorHAnsi" w:cstheme="majorHAns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06979">
        <w:rPr>
          <w:rFonts w:asciiTheme="majorHAnsi" w:hAnsiTheme="majorHAnsi" w:cstheme="majorHAnsi"/>
          <w:highlight w:val="yellow"/>
        </w:rPr>
        <w:instrText xml:space="preserve"> FORMTEXT </w:instrText>
      </w:r>
      <w:r w:rsidRPr="00106979">
        <w:rPr>
          <w:rFonts w:asciiTheme="majorHAnsi" w:hAnsiTheme="majorHAnsi" w:cstheme="majorHAnsi"/>
          <w:highlight w:val="yellow"/>
        </w:rPr>
      </w:r>
      <w:r w:rsidRPr="00106979">
        <w:rPr>
          <w:rFonts w:asciiTheme="majorHAnsi" w:hAnsiTheme="majorHAnsi" w:cstheme="majorHAnsi"/>
          <w:highlight w:val="yellow"/>
        </w:rPr>
        <w:fldChar w:fldCharType="separate"/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highlight w:val="yellow"/>
        </w:rPr>
        <w:fldChar w:fldCharType="end"/>
      </w:r>
      <w:bookmarkEnd w:id="2"/>
    </w:p>
    <w:p w14:paraId="2034CF59" w14:textId="699C4AE4" w:rsidR="00AC550D" w:rsidRPr="00A65AD0" w:rsidRDefault="007F3D20" w:rsidP="007F3D20">
      <w:pPr>
        <w:rPr>
          <w:rFonts w:asciiTheme="majorHAnsi" w:hAnsiTheme="majorHAnsi" w:cstheme="majorHAnsi"/>
        </w:rPr>
      </w:pPr>
      <w:r w:rsidRPr="002B05A7">
        <w:rPr>
          <w:rFonts w:asciiTheme="majorHAnsi" w:hAnsiTheme="majorHAnsi" w:cstheme="majorHAnsi"/>
        </w:rPr>
        <w:t>IČO:</w:t>
      </w:r>
      <w:r w:rsidR="002B05A7">
        <w:rPr>
          <w:rFonts w:asciiTheme="majorHAnsi" w:hAnsiTheme="majorHAnsi" w:cstheme="majorHAnsi"/>
        </w:rPr>
        <w:tab/>
      </w:r>
      <w:r w:rsidR="003B3851" w:rsidRPr="00106979">
        <w:rPr>
          <w:rFonts w:asciiTheme="majorHAnsi" w:hAnsiTheme="majorHAnsi" w:cstheme="majorHAnsi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B3851" w:rsidRPr="00106979">
        <w:rPr>
          <w:rFonts w:asciiTheme="majorHAnsi" w:hAnsiTheme="majorHAnsi" w:cstheme="majorHAnsi"/>
          <w:highlight w:val="yellow"/>
        </w:rPr>
        <w:instrText xml:space="preserve"> FORMTEXT </w:instrText>
      </w:r>
      <w:r w:rsidR="003B3851" w:rsidRPr="00106979">
        <w:rPr>
          <w:rFonts w:asciiTheme="majorHAnsi" w:hAnsiTheme="majorHAnsi" w:cstheme="majorHAnsi"/>
          <w:highlight w:val="yellow"/>
        </w:rPr>
      </w:r>
      <w:r w:rsidR="003B3851" w:rsidRPr="00106979">
        <w:rPr>
          <w:rFonts w:asciiTheme="majorHAnsi" w:hAnsiTheme="majorHAnsi" w:cstheme="majorHAnsi"/>
          <w:highlight w:val="yellow"/>
        </w:rPr>
        <w:fldChar w:fldCharType="separate"/>
      </w:r>
      <w:r w:rsidR="003B3851" w:rsidRPr="00106979">
        <w:rPr>
          <w:rFonts w:asciiTheme="majorHAnsi" w:hAnsiTheme="majorHAnsi" w:cstheme="majorHAnsi"/>
          <w:highlight w:val="yellow"/>
        </w:rPr>
        <w:t> </w:t>
      </w:r>
      <w:r w:rsidR="003B3851" w:rsidRPr="00106979">
        <w:rPr>
          <w:rFonts w:asciiTheme="majorHAnsi" w:hAnsiTheme="majorHAnsi" w:cstheme="majorHAnsi"/>
          <w:highlight w:val="yellow"/>
        </w:rPr>
        <w:t> </w:t>
      </w:r>
      <w:r w:rsidR="003B3851" w:rsidRPr="00106979">
        <w:rPr>
          <w:rFonts w:asciiTheme="majorHAnsi" w:hAnsiTheme="majorHAnsi" w:cstheme="majorHAnsi"/>
          <w:highlight w:val="yellow"/>
        </w:rPr>
        <w:t> </w:t>
      </w:r>
      <w:r w:rsidR="003B3851" w:rsidRPr="00106979">
        <w:rPr>
          <w:rFonts w:asciiTheme="majorHAnsi" w:hAnsiTheme="majorHAnsi" w:cstheme="majorHAnsi"/>
          <w:highlight w:val="yellow"/>
        </w:rPr>
        <w:t> </w:t>
      </w:r>
      <w:r w:rsidR="003B3851" w:rsidRPr="00106979">
        <w:rPr>
          <w:rFonts w:asciiTheme="majorHAnsi" w:hAnsiTheme="majorHAnsi" w:cstheme="majorHAnsi"/>
          <w:highlight w:val="yellow"/>
        </w:rPr>
        <w:t> </w:t>
      </w:r>
      <w:r w:rsidR="003B3851" w:rsidRPr="00106979">
        <w:rPr>
          <w:rFonts w:asciiTheme="majorHAnsi" w:hAnsiTheme="majorHAnsi" w:cstheme="majorHAnsi"/>
          <w:highlight w:val="yellow"/>
        </w:rPr>
        <w:fldChar w:fldCharType="end"/>
      </w:r>
    </w:p>
    <w:p w14:paraId="25035935" w14:textId="0EC8AAFC" w:rsidR="00AC550D" w:rsidRPr="00A65AD0" w:rsidRDefault="003B3851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z</w:t>
      </w:r>
      <w:r w:rsidR="00AC550D" w:rsidRPr="00A65AD0">
        <w:rPr>
          <w:rFonts w:asciiTheme="majorHAnsi" w:hAnsiTheme="majorHAnsi" w:cstheme="majorHAnsi"/>
        </w:rPr>
        <w:t xml:space="preserve">astoupená </w:t>
      </w:r>
      <w:r w:rsidR="00AC550D" w:rsidRPr="00106979">
        <w:rPr>
          <w:rFonts w:asciiTheme="majorHAnsi" w:hAnsiTheme="majorHAnsi" w:cstheme="majorHAnsi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C550D" w:rsidRPr="00106979">
        <w:rPr>
          <w:rFonts w:asciiTheme="majorHAnsi" w:hAnsiTheme="majorHAnsi" w:cstheme="majorHAnsi"/>
          <w:highlight w:val="yellow"/>
        </w:rPr>
        <w:instrText xml:space="preserve"> FORMTEXT </w:instrText>
      </w:r>
      <w:r w:rsidR="00AC550D" w:rsidRPr="00106979">
        <w:rPr>
          <w:rFonts w:asciiTheme="majorHAnsi" w:hAnsiTheme="majorHAnsi" w:cstheme="majorHAnsi"/>
          <w:highlight w:val="yellow"/>
        </w:rPr>
      </w:r>
      <w:r w:rsidR="00AC550D" w:rsidRPr="00106979">
        <w:rPr>
          <w:rFonts w:asciiTheme="majorHAnsi" w:hAnsiTheme="majorHAnsi" w:cstheme="majorHAnsi"/>
          <w:highlight w:val="yellow"/>
        </w:rPr>
        <w:fldChar w:fldCharType="separate"/>
      </w:r>
      <w:r w:rsidR="00AC550D" w:rsidRPr="00106979">
        <w:rPr>
          <w:rFonts w:asciiTheme="majorHAnsi" w:hAnsiTheme="majorHAnsi" w:cstheme="majorHAnsi"/>
          <w:noProof/>
          <w:highlight w:val="yellow"/>
        </w:rPr>
        <w:t> </w:t>
      </w:r>
      <w:r w:rsidR="00AC550D" w:rsidRPr="00106979">
        <w:rPr>
          <w:rFonts w:asciiTheme="majorHAnsi" w:hAnsiTheme="majorHAnsi" w:cstheme="majorHAnsi"/>
          <w:noProof/>
          <w:highlight w:val="yellow"/>
        </w:rPr>
        <w:t> </w:t>
      </w:r>
      <w:r w:rsidR="00AC550D" w:rsidRPr="00106979">
        <w:rPr>
          <w:rFonts w:asciiTheme="majorHAnsi" w:hAnsiTheme="majorHAnsi" w:cstheme="majorHAnsi"/>
          <w:noProof/>
          <w:highlight w:val="yellow"/>
        </w:rPr>
        <w:t> </w:t>
      </w:r>
      <w:r w:rsidR="00AC550D" w:rsidRPr="00106979">
        <w:rPr>
          <w:rFonts w:asciiTheme="majorHAnsi" w:hAnsiTheme="majorHAnsi" w:cstheme="majorHAnsi"/>
          <w:noProof/>
          <w:highlight w:val="yellow"/>
        </w:rPr>
        <w:t> </w:t>
      </w:r>
      <w:r w:rsidR="00AC550D" w:rsidRPr="00106979">
        <w:rPr>
          <w:rFonts w:asciiTheme="majorHAnsi" w:hAnsiTheme="majorHAnsi" w:cstheme="majorHAnsi"/>
          <w:noProof/>
          <w:highlight w:val="yellow"/>
        </w:rPr>
        <w:t> </w:t>
      </w:r>
      <w:r w:rsidR="00AC550D" w:rsidRPr="00106979">
        <w:rPr>
          <w:rFonts w:asciiTheme="majorHAnsi" w:hAnsiTheme="majorHAnsi" w:cstheme="majorHAnsi"/>
          <w:highlight w:val="yellow"/>
        </w:rPr>
        <w:fldChar w:fldCharType="end"/>
      </w:r>
      <w:bookmarkEnd w:id="3"/>
    </w:p>
    <w:p w14:paraId="0C8211DC" w14:textId="77777777" w:rsidR="00AC550D" w:rsidRPr="00A65AD0" w:rsidRDefault="00AC550D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(na straně druhé jako </w:t>
      </w:r>
      <w:r w:rsidRPr="00D966A4">
        <w:rPr>
          <w:rFonts w:asciiTheme="majorHAnsi" w:hAnsiTheme="majorHAnsi" w:cstheme="majorHAnsi"/>
          <w:b/>
          <w:bCs/>
        </w:rPr>
        <w:t>povinný</w:t>
      </w:r>
      <w:r w:rsidRPr="00A65AD0">
        <w:rPr>
          <w:rFonts w:asciiTheme="majorHAnsi" w:hAnsiTheme="majorHAnsi" w:cstheme="majorHAnsi"/>
        </w:rPr>
        <w:t>),</w:t>
      </w:r>
    </w:p>
    <w:p w14:paraId="74F3E2F6" w14:textId="77777777" w:rsidR="00AC550D" w:rsidRPr="00A65AD0" w:rsidRDefault="00AC550D" w:rsidP="00E472C7">
      <w:pPr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uzavřeli dnešního dne, měsíce a roku dle platných zákonů České republiky tuto  Dohodu o mlčenlivosti, ochraně informací a zákazu jejich zneužití (dále jen „</w:t>
      </w:r>
      <w:r w:rsidRPr="00E8010D">
        <w:rPr>
          <w:rFonts w:asciiTheme="majorHAnsi" w:hAnsiTheme="majorHAnsi" w:cstheme="majorHAnsi"/>
          <w:b/>
          <w:bCs/>
        </w:rPr>
        <w:t>Dohoda</w:t>
      </w:r>
      <w:r w:rsidRPr="00A65AD0">
        <w:rPr>
          <w:rFonts w:asciiTheme="majorHAnsi" w:hAnsiTheme="majorHAnsi" w:cstheme="majorHAnsi"/>
        </w:rPr>
        <w:t>“).</w:t>
      </w:r>
    </w:p>
    <w:p w14:paraId="4B56E07E" w14:textId="77777777" w:rsidR="00AC550D" w:rsidRPr="00A65AD0" w:rsidRDefault="00AC550D" w:rsidP="00AC550D">
      <w:pPr>
        <w:jc w:val="center"/>
        <w:rPr>
          <w:rFonts w:asciiTheme="majorHAnsi" w:hAnsiTheme="majorHAnsi" w:cstheme="majorHAnsi"/>
          <w:b/>
        </w:rPr>
      </w:pPr>
      <w:r w:rsidRPr="00A65AD0">
        <w:rPr>
          <w:rFonts w:asciiTheme="majorHAnsi" w:hAnsiTheme="majorHAnsi" w:cstheme="majorHAnsi"/>
          <w:b/>
        </w:rPr>
        <w:t>Článek I.</w:t>
      </w:r>
    </w:p>
    <w:p w14:paraId="14F95D73" w14:textId="2ABAC4DA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1. </w:t>
      </w:r>
      <w:r w:rsidRPr="00A65AD0">
        <w:rPr>
          <w:rFonts w:asciiTheme="majorHAnsi" w:hAnsiTheme="majorHAnsi" w:cstheme="majorHAnsi"/>
        </w:rPr>
        <w:tab/>
        <w:t>Účelem této Dohody je ochrana důvěrných informací oprávněného, se kterými se povinný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seznámí v rámci jednání o spolupráci a případné následné spolupráci, v jejímž rámci bude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povinný poskytovat oprávněnému výrobky a služby, konkrétně stroje a zařízení (dále též jako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„</w:t>
      </w:r>
      <w:r w:rsidRPr="00E8010D">
        <w:rPr>
          <w:rFonts w:asciiTheme="majorHAnsi" w:hAnsiTheme="majorHAnsi" w:cstheme="majorHAnsi"/>
          <w:b/>
          <w:bCs/>
        </w:rPr>
        <w:t>vzájemná spolupráce</w:t>
      </w:r>
      <w:r w:rsidRPr="00A65AD0">
        <w:rPr>
          <w:rFonts w:asciiTheme="majorHAnsi" w:hAnsiTheme="majorHAnsi" w:cstheme="majorHAnsi"/>
        </w:rPr>
        <w:t>“).</w:t>
      </w:r>
    </w:p>
    <w:p w14:paraId="54CAC35A" w14:textId="77777777" w:rsidR="00CC0891" w:rsidRDefault="00CC0891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6144CA56" w14:textId="53E0091F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2. </w:t>
      </w:r>
      <w:r w:rsidRPr="00A65AD0">
        <w:rPr>
          <w:rFonts w:asciiTheme="majorHAnsi" w:hAnsiTheme="majorHAnsi" w:cstheme="majorHAnsi"/>
        </w:rPr>
        <w:tab/>
        <w:t>Předmětem této Dohody je bližší vymezení důvěrných informací oprávněného a převzetí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závazku povinného zachovat o těchto důvěrných informacích mlčenlivost a nesdělit je ani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neumožnit k nim přístup třetím osobám, nebo je nevyužít ve svůj prospěch nebo ve prospěch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třetích osob, není-li v této Dohodě stanoveno jinak.</w:t>
      </w:r>
    </w:p>
    <w:p w14:paraId="2CBC8B3D" w14:textId="77777777" w:rsidR="00CC0891" w:rsidRDefault="00CC0891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0F6C2819" w14:textId="1FCA3E16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3. </w:t>
      </w:r>
      <w:r w:rsidRPr="00A65AD0">
        <w:rPr>
          <w:rFonts w:asciiTheme="majorHAnsi" w:hAnsiTheme="majorHAnsi" w:cstheme="majorHAnsi"/>
        </w:rPr>
        <w:tab/>
        <w:t>Důvěrnými informacemi se pro účely této Dohody a po celou dobu trvání vzájemné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spolupráce smluvních stran rozumí, bez ohledu na formu a způsob jejich sdělení či zachycení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a až do doby jejich zveřejnění, jakékoli a všechny skutečnosti, které se povinný v</w:t>
      </w:r>
      <w:r w:rsidR="00463620" w:rsidRPr="00A65AD0">
        <w:rPr>
          <w:rFonts w:asciiTheme="majorHAnsi" w:hAnsiTheme="majorHAnsi" w:cstheme="majorHAnsi"/>
        </w:rPr>
        <w:t> </w:t>
      </w:r>
      <w:r w:rsidRPr="00A65AD0">
        <w:rPr>
          <w:rFonts w:asciiTheme="majorHAnsi" w:hAnsiTheme="majorHAnsi" w:cstheme="majorHAnsi"/>
        </w:rPr>
        <w:t>průběhu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 xml:space="preserve">vzájemné spolupráce </w:t>
      </w:r>
      <w:r w:rsidRPr="00A65AD0">
        <w:rPr>
          <w:rFonts w:asciiTheme="majorHAnsi" w:hAnsiTheme="majorHAnsi" w:cstheme="majorHAnsi"/>
        </w:rPr>
        <w:lastRenderedPageBreak/>
        <w:t>dozví, a/nebo které mu oprávněný v průběhu vzájemné spolupráce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zpřístupní, jakož i sama existence těchto skutečností a vzájemné spolupráce smluvních stran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(dále jen „</w:t>
      </w:r>
      <w:r w:rsidRPr="00E8010D">
        <w:rPr>
          <w:rFonts w:asciiTheme="majorHAnsi" w:hAnsiTheme="majorHAnsi" w:cstheme="majorHAnsi"/>
          <w:b/>
          <w:bCs/>
        </w:rPr>
        <w:t>důvěrné informace</w:t>
      </w:r>
      <w:r w:rsidRPr="00A65AD0">
        <w:rPr>
          <w:rFonts w:asciiTheme="majorHAnsi" w:hAnsiTheme="majorHAnsi" w:cstheme="majorHAnsi"/>
        </w:rPr>
        <w:t>“).</w:t>
      </w:r>
    </w:p>
    <w:p w14:paraId="29515515" w14:textId="77777777" w:rsidR="00CC0891" w:rsidRDefault="00CC0891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0E3D15F5" w14:textId="5EE1FBA4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4. </w:t>
      </w:r>
      <w:r w:rsidRPr="00A65AD0">
        <w:rPr>
          <w:rFonts w:asciiTheme="majorHAnsi" w:hAnsiTheme="majorHAnsi" w:cstheme="majorHAnsi"/>
        </w:rPr>
        <w:tab/>
        <w:t xml:space="preserve">Obchodní tajemství a důvěrné informace touto </w:t>
      </w:r>
      <w:r w:rsidR="00891F06">
        <w:rPr>
          <w:rFonts w:asciiTheme="majorHAnsi" w:hAnsiTheme="majorHAnsi" w:cstheme="majorHAnsi"/>
        </w:rPr>
        <w:t>Dohodou</w:t>
      </w:r>
      <w:r w:rsidRPr="00A65AD0">
        <w:rPr>
          <w:rFonts w:asciiTheme="majorHAnsi" w:hAnsiTheme="majorHAnsi" w:cstheme="majorHAnsi"/>
        </w:rPr>
        <w:t xml:space="preserve"> chráněné tvoří rovněž veškeré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skutečnosti technické, ekonomické, právní a výrobní povahy v hmotné nebo nehmotné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formě, které byly oprávněným takto označeny a byly poskytnuty povinnému. Tyto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skutečnosti nejsou v</w:t>
      </w:r>
      <w:r w:rsidR="00891F06">
        <w:rPr>
          <w:rFonts w:asciiTheme="majorHAnsi" w:hAnsiTheme="majorHAnsi" w:cstheme="majorHAnsi"/>
        </w:rPr>
        <w:t> </w:t>
      </w:r>
      <w:r w:rsidRPr="00A65AD0">
        <w:rPr>
          <w:rFonts w:asciiTheme="majorHAnsi" w:hAnsiTheme="majorHAnsi" w:cstheme="majorHAnsi"/>
        </w:rPr>
        <w:t>příslušných obchodních kruzích zpravidla běžně dostupné a oprávněný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má zájem na jejich utajení a na odpovídajícím způsobu jejich ochrany. Obchodní tajemství a</w:t>
      </w:r>
      <w:r w:rsidR="00463620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důvěrné informace jsou dále společně označeny též jako „</w:t>
      </w:r>
      <w:r w:rsidRPr="00E8010D">
        <w:rPr>
          <w:rFonts w:asciiTheme="majorHAnsi" w:hAnsiTheme="majorHAnsi" w:cstheme="majorHAnsi"/>
          <w:b/>
          <w:bCs/>
        </w:rPr>
        <w:t>chráněné informace</w:t>
      </w:r>
      <w:r w:rsidRPr="00A65AD0">
        <w:rPr>
          <w:rFonts w:asciiTheme="majorHAnsi" w:hAnsiTheme="majorHAnsi" w:cstheme="majorHAnsi"/>
        </w:rPr>
        <w:t>“.</w:t>
      </w:r>
    </w:p>
    <w:p w14:paraId="2B05FB04" w14:textId="77777777" w:rsidR="00B561F1" w:rsidRDefault="00B561F1" w:rsidP="00AC550D">
      <w:pPr>
        <w:jc w:val="center"/>
        <w:rPr>
          <w:rFonts w:asciiTheme="majorHAnsi" w:hAnsiTheme="majorHAnsi" w:cstheme="majorHAnsi"/>
          <w:b/>
        </w:rPr>
      </w:pPr>
    </w:p>
    <w:p w14:paraId="42A166BA" w14:textId="24A6B8A3" w:rsidR="00AC550D" w:rsidRPr="00A65AD0" w:rsidRDefault="00AC550D" w:rsidP="00AC550D">
      <w:pPr>
        <w:jc w:val="center"/>
        <w:rPr>
          <w:rFonts w:asciiTheme="majorHAnsi" w:hAnsiTheme="majorHAnsi" w:cstheme="majorHAnsi"/>
          <w:b/>
        </w:rPr>
      </w:pPr>
      <w:r w:rsidRPr="00A65AD0">
        <w:rPr>
          <w:rFonts w:asciiTheme="majorHAnsi" w:hAnsiTheme="majorHAnsi" w:cstheme="majorHAnsi"/>
          <w:b/>
        </w:rPr>
        <w:t>Článek II.</w:t>
      </w:r>
    </w:p>
    <w:p w14:paraId="16559A62" w14:textId="12793408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1. </w:t>
      </w:r>
      <w:r w:rsidRPr="00A65AD0">
        <w:rPr>
          <w:rFonts w:asciiTheme="majorHAnsi" w:hAnsiTheme="majorHAnsi" w:cstheme="majorHAnsi"/>
        </w:rPr>
        <w:tab/>
        <w:t>Povinný se zavazuje, že veškeré skutečnosti spadající do oblasti obchodního tajemství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oprávněného a důvěrné informace oprávněného nebude dále rozšiřovat nebo reprodukovat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a</w:t>
      </w:r>
      <w:r w:rsidR="00891F06">
        <w:rPr>
          <w:rFonts w:asciiTheme="majorHAnsi" w:hAnsiTheme="majorHAnsi" w:cstheme="majorHAnsi"/>
        </w:rPr>
        <w:t> </w:t>
      </w:r>
      <w:r w:rsidRPr="00A65AD0">
        <w:rPr>
          <w:rFonts w:asciiTheme="majorHAnsi" w:hAnsiTheme="majorHAnsi" w:cstheme="majorHAnsi"/>
        </w:rPr>
        <w:t>nezpřístupní je třetí straně. Současně se zavazuje, že zabezpečí, aby převzaté dokumenty a</w:t>
      </w:r>
      <w:r w:rsidR="00891F06">
        <w:rPr>
          <w:rFonts w:asciiTheme="majorHAnsi" w:hAnsiTheme="majorHAnsi" w:cstheme="majorHAnsi"/>
        </w:rPr>
        <w:t> </w:t>
      </w:r>
      <w:r w:rsidRPr="00A65AD0">
        <w:rPr>
          <w:rFonts w:asciiTheme="majorHAnsi" w:hAnsiTheme="majorHAnsi" w:cstheme="majorHAnsi"/>
        </w:rPr>
        <w:t>všechny další podklady v jakékoliv podobě nebo formě, obsahující obchodní tajemství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oprávněného nebo důvěrné informace byly řádně evidovány. Povinný se dále zavazuje, že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obchodní tajemství oprávněného a důvěrné informace nepoužije v rozporu s jejich účelem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ani účelem jejich poskytnutí pro své potřeby nebo ve prospěch třetích osob.</w:t>
      </w:r>
    </w:p>
    <w:p w14:paraId="74B653FC" w14:textId="77777777" w:rsidR="00CC0891" w:rsidRDefault="00CC0891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1D9BE253" w14:textId="5D01A391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2. </w:t>
      </w:r>
      <w:r w:rsidRPr="00A65AD0">
        <w:rPr>
          <w:rFonts w:asciiTheme="majorHAnsi" w:hAnsiTheme="majorHAnsi" w:cstheme="majorHAnsi"/>
        </w:rPr>
        <w:tab/>
        <w:t>Povinný omezí počet zaměstnanců pro styk s těmito chráněnými informacemi a přijme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účinná opatření pro zamezení úniku informací.</w:t>
      </w:r>
    </w:p>
    <w:p w14:paraId="0871E496" w14:textId="77777777" w:rsidR="00CC0891" w:rsidRDefault="00CC0891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7C5A49E2" w14:textId="1B4EE2AB" w:rsidR="00AC550D" w:rsidRPr="00A65AD0" w:rsidRDefault="00AC550D" w:rsidP="00E63AFD">
      <w:pPr>
        <w:spacing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3. </w:t>
      </w:r>
      <w:r w:rsidRPr="00A65AD0">
        <w:rPr>
          <w:rFonts w:asciiTheme="majorHAnsi" w:hAnsiTheme="majorHAnsi" w:cstheme="majorHAnsi"/>
        </w:rPr>
        <w:tab/>
        <w:t>V případě, že povinný bude nezbytně potřebovat k zajištění některé činnosti třetí stranu,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může jí předat informace, které jsou předmětem ochrany dle této smlouvy, pouze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s předchozím písemným souhlasem oprávněného, a to za podmínky, že se třetí strana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smluvně zaváže k jejich ochraně.</w:t>
      </w:r>
    </w:p>
    <w:p w14:paraId="144FFD47" w14:textId="23863B0C" w:rsidR="00AC550D" w:rsidRPr="00A65AD0" w:rsidRDefault="00AC550D" w:rsidP="00CE33A4">
      <w:pPr>
        <w:spacing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4. </w:t>
      </w:r>
      <w:r w:rsidRPr="00A65AD0">
        <w:rPr>
          <w:rFonts w:asciiTheme="majorHAnsi" w:hAnsiTheme="majorHAnsi" w:cstheme="majorHAnsi"/>
        </w:rPr>
        <w:tab/>
        <w:t xml:space="preserve">Povinnost plnit ustanovení této </w:t>
      </w:r>
      <w:r w:rsidR="00790A90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 xml:space="preserve"> se nevztahuje na chráněné informace, které:</w:t>
      </w:r>
    </w:p>
    <w:p w14:paraId="5BB446DC" w14:textId="1B5EDFB3" w:rsidR="00AC550D" w:rsidRPr="00A65AD0" w:rsidRDefault="00AC550D" w:rsidP="00CC0891">
      <w:pPr>
        <w:spacing w:after="0" w:line="240" w:lineRule="auto"/>
        <w:ind w:left="1418" w:hanging="709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a. </w:t>
      </w:r>
      <w:r w:rsidRPr="00A65AD0">
        <w:rPr>
          <w:rFonts w:asciiTheme="majorHAnsi" w:hAnsiTheme="majorHAnsi" w:cstheme="majorHAnsi"/>
        </w:rPr>
        <w:tab/>
        <w:t xml:space="preserve">mohou být zveřejněny bez porušení této </w:t>
      </w:r>
      <w:r w:rsidR="00E63AFD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>;</w:t>
      </w:r>
    </w:p>
    <w:p w14:paraId="2E0F5D5C" w14:textId="77777777" w:rsidR="00AC550D" w:rsidRPr="00A65AD0" w:rsidRDefault="00AC550D" w:rsidP="00CC0891">
      <w:pPr>
        <w:spacing w:after="0" w:line="240" w:lineRule="auto"/>
        <w:ind w:left="1418" w:hanging="709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b. </w:t>
      </w:r>
      <w:r w:rsidRPr="00A65AD0">
        <w:rPr>
          <w:rFonts w:asciiTheme="majorHAnsi" w:hAnsiTheme="majorHAnsi" w:cstheme="majorHAnsi"/>
        </w:rPr>
        <w:tab/>
        <w:t>byly písemným souhlasem oprávněného uvolněny od těchto omezení;</w:t>
      </w:r>
    </w:p>
    <w:p w14:paraId="4A02F6CA" w14:textId="52B5F4E6" w:rsidR="00AC550D" w:rsidRPr="00A65AD0" w:rsidRDefault="00AC550D" w:rsidP="00CC0891">
      <w:pPr>
        <w:spacing w:after="0" w:line="240" w:lineRule="auto"/>
        <w:ind w:left="1418" w:hanging="709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c. </w:t>
      </w:r>
      <w:r w:rsidRPr="00A65AD0">
        <w:rPr>
          <w:rFonts w:asciiTheme="majorHAnsi" w:hAnsiTheme="majorHAnsi" w:cstheme="majorHAnsi"/>
        </w:rPr>
        <w:tab/>
        <w:t>jsou veřejně dostupné nebo byly zveřejněny jinak, než porušením povinnosti</w:t>
      </w:r>
      <w:r w:rsidR="003A6B35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povinného;</w:t>
      </w:r>
    </w:p>
    <w:p w14:paraId="6EC29280" w14:textId="77777777" w:rsidR="00AC550D" w:rsidRPr="00A65AD0" w:rsidRDefault="00AC550D" w:rsidP="00CC0891">
      <w:pPr>
        <w:spacing w:after="0" w:line="240" w:lineRule="auto"/>
        <w:ind w:left="1418" w:hanging="709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d. </w:t>
      </w:r>
      <w:r w:rsidRPr="00A65AD0">
        <w:rPr>
          <w:rFonts w:asciiTheme="majorHAnsi" w:hAnsiTheme="majorHAnsi" w:cstheme="majorHAnsi"/>
        </w:rPr>
        <w:tab/>
        <w:t>příjemce je zná zcela prokazatelně dříve, než je sdělí povinný;</w:t>
      </w:r>
    </w:p>
    <w:p w14:paraId="43A06CBA" w14:textId="34A52C84" w:rsidR="00AC550D" w:rsidRPr="00A65AD0" w:rsidRDefault="00AC550D" w:rsidP="00CC0891">
      <w:pPr>
        <w:spacing w:after="0" w:line="240" w:lineRule="auto"/>
        <w:ind w:left="1418" w:hanging="709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e. </w:t>
      </w:r>
      <w:r w:rsidRPr="00A65AD0">
        <w:rPr>
          <w:rFonts w:asciiTheme="majorHAnsi" w:hAnsiTheme="majorHAnsi" w:cstheme="majorHAnsi"/>
        </w:rPr>
        <w:tab/>
        <w:t>jsou vyžádány soudem, státním zastupitelstvím nebo věcně příslušným správním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orgánem na základě zákona a jsou použity pouze k tomuto účelu.</w:t>
      </w:r>
    </w:p>
    <w:p w14:paraId="3070A153" w14:textId="77777777" w:rsidR="00CC0891" w:rsidRDefault="00CC0891" w:rsidP="00AC550D">
      <w:pPr>
        <w:spacing w:after="0" w:line="240" w:lineRule="auto"/>
        <w:rPr>
          <w:rFonts w:asciiTheme="majorHAnsi" w:hAnsiTheme="majorHAnsi" w:cstheme="majorHAnsi"/>
        </w:rPr>
      </w:pPr>
    </w:p>
    <w:p w14:paraId="15764D4A" w14:textId="5815C3E4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5. </w:t>
      </w:r>
      <w:r w:rsidRPr="00A65AD0">
        <w:rPr>
          <w:rFonts w:asciiTheme="majorHAnsi" w:hAnsiTheme="majorHAnsi" w:cstheme="majorHAnsi"/>
        </w:rPr>
        <w:tab/>
        <w:t>Poskytnutí informací spadajících do oblasti obchodního tajemství nebo důvěrných informací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nezakládá žádné právo na licenci, ochrannou známku, patent, právo užití nebo šíření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autorského díla, ani jakékoliv jiné právo duševního nebo průmyslového vlastnictví.</w:t>
      </w:r>
    </w:p>
    <w:p w14:paraId="27C86D99" w14:textId="77777777" w:rsidR="00CC0891" w:rsidRDefault="00CC0891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763A4E33" w14:textId="748F1EB8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6. </w:t>
      </w:r>
      <w:r w:rsidRPr="00A65AD0">
        <w:rPr>
          <w:rFonts w:asciiTheme="majorHAnsi" w:hAnsiTheme="majorHAnsi" w:cstheme="majorHAnsi"/>
        </w:rPr>
        <w:tab/>
        <w:t xml:space="preserve">Veškeré informace dle této </w:t>
      </w:r>
      <w:r w:rsidR="00911B21">
        <w:rPr>
          <w:rFonts w:asciiTheme="majorHAnsi" w:hAnsiTheme="majorHAnsi" w:cstheme="majorHAnsi"/>
        </w:rPr>
        <w:t xml:space="preserve">Dohody </w:t>
      </w:r>
      <w:r w:rsidRPr="00A65AD0">
        <w:rPr>
          <w:rFonts w:asciiTheme="majorHAnsi" w:hAnsiTheme="majorHAnsi" w:cstheme="majorHAnsi"/>
        </w:rPr>
        <w:t>zůstanou vlastnictvím oprávněného a budou povinným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vráceny oprávněnému po zaslání písemného požadavku oprávněného nebo v případě,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nebude-li informace nebo poskytnuté údaje povinný již potřebovat.</w:t>
      </w:r>
    </w:p>
    <w:p w14:paraId="5057E20B" w14:textId="77777777" w:rsidR="00C10FB2" w:rsidRDefault="00C10FB2" w:rsidP="00AC550D">
      <w:pPr>
        <w:jc w:val="center"/>
        <w:rPr>
          <w:rFonts w:asciiTheme="majorHAnsi" w:hAnsiTheme="majorHAnsi" w:cstheme="majorHAnsi"/>
          <w:b/>
        </w:rPr>
      </w:pPr>
    </w:p>
    <w:p w14:paraId="1357E9F1" w14:textId="0DECCBEC" w:rsidR="00AC550D" w:rsidRPr="00A65AD0" w:rsidRDefault="00AC550D" w:rsidP="00AC550D">
      <w:pPr>
        <w:jc w:val="center"/>
        <w:rPr>
          <w:rFonts w:asciiTheme="majorHAnsi" w:hAnsiTheme="majorHAnsi" w:cstheme="majorHAnsi"/>
          <w:b/>
        </w:rPr>
      </w:pPr>
      <w:r w:rsidRPr="00A65AD0">
        <w:rPr>
          <w:rFonts w:asciiTheme="majorHAnsi" w:hAnsiTheme="majorHAnsi" w:cstheme="majorHAnsi"/>
          <w:b/>
        </w:rPr>
        <w:t>Článek III.</w:t>
      </w:r>
    </w:p>
    <w:p w14:paraId="46A2DFD5" w14:textId="328C3D1A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1. </w:t>
      </w:r>
      <w:r w:rsidRPr="00A65AD0">
        <w:rPr>
          <w:rFonts w:asciiTheme="majorHAnsi" w:hAnsiTheme="majorHAnsi" w:cstheme="majorHAnsi"/>
        </w:rPr>
        <w:tab/>
        <w:t>Za porušení povinností týkajících se ochrany obchodního tajemství nebo důvěrných informací</w:t>
      </w:r>
      <w:r w:rsidR="00CC0891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podle této smlouvy má oprávněný právo uplatnit u povinného nárok na zaplacení smluvní</w:t>
      </w:r>
      <w:r w:rsidR="00085AAC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pokuty.</w:t>
      </w:r>
    </w:p>
    <w:p w14:paraId="3D5E6F45" w14:textId="77777777" w:rsidR="00CC0891" w:rsidRDefault="00CC0891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5167DA0E" w14:textId="5EA93647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2. </w:t>
      </w:r>
      <w:r w:rsidRPr="00A65AD0">
        <w:rPr>
          <w:rFonts w:asciiTheme="majorHAnsi" w:hAnsiTheme="majorHAnsi" w:cstheme="majorHAnsi"/>
        </w:rPr>
        <w:tab/>
        <w:t>Výše smluvní pokuty je stanovena na 500 000,-- Kč (slovy: pět set tisíc korun českých) za</w:t>
      </w:r>
      <w:r w:rsidR="00085AAC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každý jednotlivý prokázaný případ porušení povinností.</w:t>
      </w:r>
    </w:p>
    <w:p w14:paraId="67E5ED32" w14:textId="77777777" w:rsidR="00CC0891" w:rsidRDefault="00CC0891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11FB77C1" w14:textId="64847B67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3. </w:t>
      </w:r>
      <w:r w:rsidRPr="00A65AD0">
        <w:rPr>
          <w:rFonts w:asciiTheme="majorHAnsi" w:hAnsiTheme="majorHAnsi" w:cstheme="majorHAnsi"/>
        </w:rPr>
        <w:tab/>
        <w:t xml:space="preserve">Smluvní pokutu, na kterou vznikne oprávněnému nárok dle této </w:t>
      </w:r>
      <w:r w:rsidR="00AD1F46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>, je povinný povinen</w:t>
      </w:r>
      <w:r w:rsidR="00085AAC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uhradit do 14 kalendářních dnů ode dne prokazatelného doručení výzvy k úhradě smluvní</w:t>
      </w:r>
      <w:r w:rsidR="00085AAC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pokuty. V případě pochybností se má výzva za doručenou třetí den po jejím odeslání.</w:t>
      </w:r>
    </w:p>
    <w:p w14:paraId="193CE7AB" w14:textId="77777777" w:rsidR="00CC0891" w:rsidRDefault="00CC0891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19B4FE7D" w14:textId="3E9B6CB8" w:rsidR="00AC550D" w:rsidRPr="00A65AD0" w:rsidRDefault="00AC550D" w:rsidP="00CE33A4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4. </w:t>
      </w:r>
      <w:r w:rsidRPr="00A65AD0">
        <w:rPr>
          <w:rFonts w:asciiTheme="majorHAnsi" w:hAnsiTheme="majorHAnsi" w:cstheme="majorHAnsi"/>
        </w:rPr>
        <w:tab/>
        <w:t xml:space="preserve">Způsobí-li povinný oprávněnému škodu porušením této </w:t>
      </w:r>
      <w:r w:rsidR="00AD1F46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>, odpovídá za ni dle</w:t>
      </w:r>
      <w:r w:rsidR="00A94127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obecných právních předpisů. Zaplacením smluvní pokuty není dotčen nárok na náhradu</w:t>
      </w:r>
      <w:r w:rsidR="00A94127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škody.</w:t>
      </w:r>
    </w:p>
    <w:p w14:paraId="502454BD" w14:textId="77777777" w:rsidR="00DF62BB" w:rsidRDefault="00DF62BB" w:rsidP="00AC550D">
      <w:pPr>
        <w:jc w:val="center"/>
        <w:rPr>
          <w:rFonts w:asciiTheme="majorHAnsi" w:hAnsiTheme="majorHAnsi" w:cstheme="majorHAnsi"/>
          <w:b/>
        </w:rPr>
      </w:pPr>
    </w:p>
    <w:p w14:paraId="70B1B895" w14:textId="5E99DF9C" w:rsidR="00AC550D" w:rsidRPr="00A65AD0" w:rsidRDefault="00AC550D" w:rsidP="00AC550D">
      <w:pPr>
        <w:jc w:val="center"/>
        <w:rPr>
          <w:rFonts w:asciiTheme="majorHAnsi" w:hAnsiTheme="majorHAnsi" w:cstheme="majorHAnsi"/>
          <w:b/>
        </w:rPr>
      </w:pPr>
      <w:r w:rsidRPr="00A65AD0">
        <w:rPr>
          <w:rFonts w:asciiTheme="majorHAnsi" w:hAnsiTheme="majorHAnsi" w:cstheme="majorHAnsi"/>
          <w:b/>
        </w:rPr>
        <w:t>Článek IV.</w:t>
      </w:r>
    </w:p>
    <w:p w14:paraId="2C0DDE8B" w14:textId="0D1C8114" w:rsidR="00AC550D" w:rsidRPr="00A65AD0" w:rsidRDefault="00AC550D" w:rsidP="003460EF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1. </w:t>
      </w:r>
      <w:r w:rsidRPr="00A65AD0">
        <w:rPr>
          <w:rFonts w:asciiTheme="majorHAnsi" w:hAnsiTheme="majorHAnsi" w:cstheme="majorHAnsi"/>
        </w:rPr>
        <w:tab/>
      </w:r>
      <w:r w:rsidR="00D966A4">
        <w:rPr>
          <w:rFonts w:asciiTheme="majorHAnsi" w:hAnsiTheme="majorHAnsi" w:cstheme="majorHAnsi"/>
        </w:rPr>
        <w:t>Dohoda</w:t>
      </w:r>
      <w:r w:rsidRPr="00A65AD0">
        <w:rPr>
          <w:rFonts w:asciiTheme="majorHAnsi" w:hAnsiTheme="majorHAnsi" w:cstheme="majorHAnsi"/>
        </w:rPr>
        <w:t xml:space="preserve"> nabývá platnosti a účinnosti dnem podpisu oprávněnými zástupci obou smluvních</w:t>
      </w:r>
      <w:r w:rsidR="00A94127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stran.</w:t>
      </w:r>
    </w:p>
    <w:p w14:paraId="2B1F4966" w14:textId="77777777" w:rsidR="00AC550D" w:rsidRPr="00A65AD0" w:rsidRDefault="00AC550D" w:rsidP="003460EF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6A4F8BCB" w14:textId="3A7835BD" w:rsidR="00AC550D" w:rsidRPr="00A65AD0" w:rsidRDefault="00AC550D" w:rsidP="003460EF">
      <w:pPr>
        <w:spacing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2. </w:t>
      </w:r>
      <w:r w:rsidRPr="00A65AD0">
        <w:rPr>
          <w:rFonts w:asciiTheme="majorHAnsi" w:hAnsiTheme="majorHAnsi" w:cstheme="majorHAnsi"/>
        </w:rPr>
        <w:tab/>
      </w:r>
      <w:r w:rsidR="00D966A4">
        <w:rPr>
          <w:rFonts w:asciiTheme="majorHAnsi" w:hAnsiTheme="majorHAnsi" w:cstheme="majorHAnsi"/>
        </w:rPr>
        <w:t>Dohoda</w:t>
      </w:r>
      <w:r w:rsidRPr="00A65AD0">
        <w:rPr>
          <w:rFonts w:asciiTheme="majorHAnsi" w:hAnsiTheme="majorHAnsi" w:cstheme="majorHAnsi"/>
        </w:rPr>
        <w:t xml:space="preserve"> se uzavírá na dobu 5 let ode dne skončení jednání o spolupráci, anebo ukončení spolupráce, podle toho, co nastane později. Povinnost povinného  zachovávat obchodní tajemství oprávněného trvá i po uplynutí sjednané doby trvání </w:t>
      </w:r>
      <w:r w:rsidR="000A012A">
        <w:rPr>
          <w:rFonts w:asciiTheme="majorHAnsi" w:hAnsiTheme="majorHAnsi" w:cstheme="majorHAnsi"/>
        </w:rPr>
        <w:t>Dohody.</w:t>
      </w:r>
      <w:r w:rsidRPr="00A65AD0">
        <w:rPr>
          <w:rFonts w:asciiTheme="majorHAnsi" w:hAnsiTheme="majorHAnsi" w:cstheme="majorHAnsi"/>
        </w:rPr>
        <w:t xml:space="preserve"> </w:t>
      </w:r>
    </w:p>
    <w:p w14:paraId="296E0848" w14:textId="588C73FC" w:rsidR="00AC550D" w:rsidRPr="00A65AD0" w:rsidRDefault="00AC550D" w:rsidP="003460EF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3. </w:t>
      </w:r>
      <w:r w:rsidRPr="00A65AD0">
        <w:rPr>
          <w:rFonts w:asciiTheme="majorHAnsi" w:hAnsiTheme="majorHAnsi" w:cstheme="majorHAnsi"/>
        </w:rPr>
        <w:tab/>
        <w:t xml:space="preserve">Závazky stanovené touto </w:t>
      </w:r>
      <w:r w:rsidR="00D966A4">
        <w:rPr>
          <w:rFonts w:asciiTheme="majorHAnsi" w:hAnsiTheme="majorHAnsi" w:cstheme="majorHAnsi"/>
        </w:rPr>
        <w:t>Dohodou</w:t>
      </w:r>
      <w:r w:rsidRPr="00A65AD0">
        <w:rPr>
          <w:rFonts w:asciiTheme="majorHAnsi" w:hAnsiTheme="majorHAnsi" w:cstheme="majorHAnsi"/>
        </w:rPr>
        <w:t xml:space="preserve"> k ochraně skutečností tvořících obchodní tajemství</w:t>
      </w:r>
      <w:r w:rsidR="00A94127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 xml:space="preserve">a důvěrné informace, které byly předány přede dnem ukončení účinnosti této </w:t>
      </w:r>
      <w:r w:rsidR="00D966A4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>, platí</w:t>
      </w:r>
      <w:r w:rsidR="00A94127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 xml:space="preserve">i nadále po ukončení účinnosti této </w:t>
      </w:r>
      <w:r w:rsidR="000A012A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>, a to po dobu tří let ode dne ukončení účinnosti</w:t>
      </w:r>
      <w:r w:rsidR="00A94127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 xml:space="preserve">této </w:t>
      </w:r>
      <w:r w:rsidR="000A012A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>.</w:t>
      </w:r>
    </w:p>
    <w:p w14:paraId="3BA18D48" w14:textId="77777777" w:rsidR="00CC0891" w:rsidRDefault="00CC0891" w:rsidP="003460EF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52D2502D" w14:textId="63CDAA19" w:rsidR="00AC550D" w:rsidRPr="00A65AD0" w:rsidRDefault="00AC550D" w:rsidP="003460EF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4. </w:t>
      </w:r>
      <w:r w:rsidRPr="00A65AD0">
        <w:rPr>
          <w:rFonts w:asciiTheme="majorHAnsi" w:hAnsiTheme="majorHAnsi" w:cstheme="majorHAnsi"/>
        </w:rPr>
        <w:tab/>
        <w:t xml:space="preserve">Veškeré změny a doplňky této </w:t>
      </w:r>
      <w:r w:rsidR="00140875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 xml:space="preserve"> vyžadují písemný souhlas obou smluvních stran ve</w:t>
      </w:r>
      <w:r w:rsidR="00A94127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formě následně číslovaných dodatků.</w:t>
      </w:r>
    </w:p>
    <w:p w14:paraId="4AF2D58F" w14:textId="77777777" w:rsidR="00CC0891" w:rsidRDefault="00CC0891" w:rsidP="003460EF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1106C5DE" w14:textId="0DA1ED33" w:rsidR="00AC550D" w:rsidRPr="00A65AD0" w:rsidRDefault="00AC550D" w:rsidP="003460EF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5. </w:t>
      </w:r>
      <w:r w:rsidRPr="00A65AD0">
        <w:rPr>
          <w:rFonts w:asciiTheme="majorHAnsi" w:hAnsiTheme="majorHAnsi" w:cstheme="majorHAnsi"/>
        </w:rPr>
        <w:tab/>
        <w:t xml:space="preserve">Právní vztahy vzniklé z této </w:t>
      </w:r>
      <w:r w:rsidR="00140875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 xml:space="preserve"> a vyplývající z této </w:t>
      </w:r>
      <w:r w:rsidR="00140875">
        <w:rPr>
          <w:rFonts w:asciiTheme="majorHAnsi" w:hAnsiTheme="majorHAnsi" w:cstheme="majorHAnsi"/>
        </w:rPr>
        <w:t>Dohody</w:t>
      </w:r>
      <w:r w:rsidRPr="00A65AD0">
        <w:rPr>
          <w:rFonts w:asciiTheme="majorHAnsi" w:hAnsiTheme="majorHAnsi" w:cstheme="majorHAnsi"/>
        </w:rPr>
        <w:t xml:space="preserve"> se řídí právním řádem České</w:t>
      </w:r>
      <w:r w:rsidR="002B5FC2" w:rsidRPr="00A65AD0">
        <w:rPr>
          <w:rFonts w:asciiTheme="majorHAnsi" w:hAnsiTheme="majorHAnsi" w:cstheme="majorHAnsi"/>
        </w:rPr>
        <w:t xml:space="preserve"> </w:t>
      </w:r>
      <w:r w:rsidRPr="00A65AD0">
        <w:rPr>
          <w:rFonts w:asciiTheme="majorHAnsi" w:hAnsiTheme="majorHAnsi" w:cstheme="majorHAnsi"/>
        </w:rPr>
        <w:t>republiky.</w:t>
      </w:r>
    </w:p>
    <w:p w14:paraId="2D2FA617" w14:textId="77777777" w:rsidR="00CC0891" w:rsidRDefault="00CC0891" w:rsidP="003460EF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56BB9A71" w14:textId="303BB473" w:rsidR="00AC550D" w:rsidRPr="00A65AD0" w:rsidRDefault="00AC550D" w:rsidP="003460EF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 xml:space="preserve">6. </w:t>
      </w:r>
      <w:r w:rsidRPr="00A65AD0">
        <w:rPr>
          <w:rFonts w:asciiTheme="majorHAnsi" w:hAnsiTheme="majorHAnsi" w:cstheme="majorHAnsi"/>
        </w:rPr>
        <w:tab/>
      </w:r>
      <w:r w:rsidR="00C14340">
        <w:rPr>
          <w:rFonts w:asciiTheme="majorHAnsi" w:hAnsiTheme="majorHAnsi" w:cstheme="majorHAnsi"/>
        </w:rPr>
        <w:t xml:space="preserve">Dohoda </w:t>
      </w:r>
      <w:r w:rsidR="00C24EEE" w:rsidRPr="00C24EEE">
        <w:rPr>
          <w:rFonts w:asciiTheme="majorHAnsi" w:hAnsiTheme="majorHAnsi" w:cstheme="majorHAnsi"/>
        </w:rPr>
        <w:t xml:space="preserve">se vyhotovuje ve dvou stejnopisech, z nichž každý má platnost originálu a každý z účastníků této </w:t>
      </w:r>
      <w:r w:rsidR="00D966A4">
        <w:rPr>
          <w:rFonts w:asciiTheme="majorHAnsi" w:hAnsiTheme="majorHAnsi" w:cstheme="majorHAnsi"/>
        </w:rPr>
        <w:t>Dohody</w:t>
      </w:r>
      <w:r w:rsidR="00C24EEE" w:rsidRPr="00C24EEE">
        <w:rPr>
          <w:rFonts w:asciiTheme="majorHAnsi" w:hAnsiTheme="majorHAnsi" w:cstheme="majorHAnsi"/>
        </w:rPr>
        <w:t xml:space="preserve"> obdrží po jednom stejnopise. </w:t>
      </w:r>
      <w:r w:rsidR="00140875">
        <w:rPr>
          <w:rFonts w:asciiTheme="majorHAnsi" w:hAnsiTheme="majorHAnsi" w:cstheme="majorHAnsi"/>
        </w:rPr>
        <w:t>Dohoda může být</w:t>
      </w:r>
      <w:r w:rsidR="00C24EEE" w:rsidRPr="00C24EEE">
        <w:rPr>
          <w:rFonts w:asciiTheme="majorHAnsi" w:hAnsiTheme="majorHAnsi" w:cstheme="majorHAnsi"/>
        </w:rPr>
        <w:t xml:space="preserve"> uzavřena rovněž elektronicky, uznávanými elektronickými podpisy.</w:t>
      </w:r>
    </w:p>
    <w:p w14:paraId="7620CF58" w14:textId="77777777" w:rsidR="00AC550D" w:rsidRPr="00A65AD0" w:rsidRDefault="00AC550D" w:rsidP="00A94127">
      <w:pPr>
        <w:jc w:val="both"/>
        <w:rPr>
          <w:rFonts w:asciiTheme="majorHAnsi" w:hAnsiTheme="majorHAnsi" w:cstheme="majorHAnsi"/>
        </w:rPr>
      </w:pPr>
    </w:p>
    <w:p w14:paraId="61B54F75" w14:textId="77777777" w:rsidR="00B561F1" w:rsidRDefault="00B561F1" w:rsidP="00AC550D">
      <w:pPr>
        <w:rPr>
          <w:rFonts w:asciiTheme="majorHAnsi" w:hAnsiTheme="majorHAnsi" w:cstheme="majorHAnsi"/>
        </w:rPr>
      </w:pPr>
    </w:p>
    <w:p w14:paraId="63BF4B31" w14:textId="1F7B8BF7" w:rsidR="00AC550D" w:rsidRPr="00A65AD0" w:rsidRDefault="00AC550D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V</w:t>
      </w:r>
      <w:r w:rsidR="009303EA" w:rsidRPr="00A65AD0">
        <w:rPr>
          <w:rFonts w:asciiTheme="majorHAnsi" w:hAnsiTheme="majorHAnsi" w:cstheme="majorHAnsi"/>
        </w:rPr>
        <w:t xml:space="preserve"> </w:t>
      </w:r>
      <w:r w:rsidRPr="00106979">
        <w:rPr>
          <w:rFonts w:asciiTheme="majorHAnsi" w:hAnsiTheme="majorHAnsi" w:cstheme="majorHAnsi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06979">
        <w:rPr>
          <w:rFonts w:asciiTheme="majorHAnsi" w:hAnsiTheme="majorHAnsi" w:cstheme="majorHAnsi"/>
          <w:highlight w:val="yellow"/>
        </w:rPr>
        <w:instrText xml:space="preserve"> FORMTEXT </w:instrText>
      </w:r>
      <w:r w:rsidRPr="00106979">
        <w:rPr>
          <w:rFonts w:asciiTheme="majorHAnsi" w:hAnsiTheme="majorHAnsi" w:cstheme="majorHAnsi"/>
          <w:highlight w:val="yellow"/>
        </w:rPr>
      </w:r>
      <w:r w:rsidRPr="00106979">
        <w:rPr>
          <w:rFonts w:asciiTheme="majorHAnsi" w:hAnsiTheme="majorHAnsi" w:cstheme="majorHAnsi"/>
          <w:highlight w:val="yellow"/>
        </w:rPr>
        <w:fldChar w:fldCharType="separate"/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highlight w:val="yellow"/>
        </w:rPr>
        <w:fldChar w:fldCharType="end"/>
      </w:r>
      <w:bookmarkEnd w:id="4"/>
      <w:r w:rsidRPr="00A65AD0">
        <w:rPr>
          <w:rFonts w:asciiTheme="majorHAnsi" w:hAnsiTheme="majorHAnsi" w:cstheme="majorHAnsi"/>
        </w:rPr>
        <w:t xml:space="preserve">     dne </w:t>
      </w:r>
      <w:r w:rsidRPr="00106979">
        <w:rPr>
          <w:rFonts w:asciiTheme="majorHAnsi" w:hAnsiTheme="majorHAnsi" w:cstheme="majorHAnsi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06979">
        <w:rPr>
          <w:rFonts w:asciiTheme="majorHAnsi" w:hAnsiTheme="majorHAnsi" w:cstheme="majorHAnsi"/>
          <w:highlight w:val="yellow"/>
        </w:rPr>
        <w:instrText xml:space="preserve"> FORMTEXT </w:instrText>
      </w:r>
      <w:r w:rsidRPr="00106979">
        <w:rPr>
          <w:rFonts w:asciiTheme="majorHAnsi" w:hAnsiTheme="majorHAnsi" w:cstheme="majorHAnsi"/>
          <w:highlight w:val="yellow"/>
        </w:rPr>
      </w:r>
      <w:r w:rsidRPr="00106979">
        <w:rPr>
          <w:rFonts w:asciiTheme="majorHAnsi" w:hAnsiTheme="majorHAnsi" w:cstheme="majorHAnsi"/>
          <w:highlight w:val="yellow"/>
        </w:rPr>
        <w:fldChar w:fldCharType="separate"/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highlight w:val="yellow"/>
        </w:rPr>
        <w:fldChar w:fldCharType="end"/>
      </w:r>
      <w:bookmarkEnd w:id="5"/>
    </w:p>
    <w:p w14:paraId="3CB48A1E" w14:textId="60872F68" w:rsidR="00AC550D" w:rsidRPr="00E8010D" w:rsidRDefault="00AC550D" w:rsidP="00AC550D">
      <w:pPr>
        <w:rPr>
          <w:rFonts w:asciiTheme="majorHAnsi" w:hAnsiTheme="majorHAnsi" w:cstheme="majorHAnsi"/>
          <w:b/>
          <w:bCs/>
        </w:rPr>
      </w:pPr>
      <w:r w:rsidRPr="00E8010D">
        <w:rPr>
          <w:rFonts w:asciiTheme="majorHAnsi" w:hAnsiTheme="majorHAnsi" w:cstheme="majorHAnsi"/>
          <w:b/>
          <w:bCs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8010D">
        <w:rPr>
          <w:rFonts w:asciiTheme="majorHAnsi" w:hAnsiTheme="majorHAnsi" w:cstheme="majorHAnsi"/>
          <w:b/>
          <w:bCs/>
          <w:highlight w:val="yellow"/>
        </w:rPr>
        <w:instrText xml:space="preserve"> FORMTEXT </w:instrText>
      </w:r>
      <w:r w:rsidRPr="00E8010D">
        <w:rPr>
          <w:rFonts w:asciiTheme="majorHAnsi" w:hAnsiTheme="majorHAnsi" w:cstheme="majorHAnsi"/>
          <w:b/>
          <w:bCs/>
          <w:highlight w:val="yellow"/>
        </w:rPr>
      </w:r>
      <w:r w:rsidRPr="00E8010D">
        <w:rPr>
          <w:rFonts w:asciiTheme="majorHAnsi" w:hAnsiTheme="majorHAnsi" w:cstheme="majorHAnsi"/>
          <w:b/>
          <w:bCs/>
          <w:highlight w:val="yellow"/>
        </w:rPr>
        <w:fldChar w:fldCharType="separate"/>
      </w:r>
      <w:r w:rsidRPr="00E8010D">
        <w:rPr>
          <w:rFonts w:asciiTheme="majorHAnsi" w:hAnsiTheme="majorHAnsi" w:cstheme="majorHAnsi"/>
          <w:b/>
          <w:bCs/>
          <w:noProof/>
          <w:highlight w:val="yellow"/>
        </w:rPr>
        <w:t> </w:t>
      </w:r>
      <w:r w:rsidRPr="00E8010D">
        <w:rPr>
          <w:rFonts w:asciiTheme="majorHAnsi" w:hAnsiTheme="majorHAnsi" w:cstheme="majorHAnsi"/>
          <w:b/>
          <w:bCs/>
          <w:noProof/>
          <w:highlight w:val="yellow"/>
        </w:rPr>
        <w:t> </w:t>
      </w:r>
      <w:r w:rsidRPr="00E8010D">
        <w:rPr>
          <w:rFonts w:asciiTheme="majorHAnsi" w:hAnsiTheme="majorHAnsi" w:cstheme="majorHAnsi"/>
          <w:b/>
          <w:bCs/>
          <w:noProof/>
          <w:highlight w:val="yellow"/>
        </w:rPr>
        <w:t> </w:t>
      </w:r>
      <w:r w:rsidRPr="00E8010D">
        <w:rPr>
          <w:rFonts w:asciiTheme="majorHAnsi" w:hAnsiTheme="majorHAnsi" w:cstheme="majorHAnsi"/>
          <w:b/>
          <w:bCs/>
          <w:noProof/>
          <w:highlight w:val="yellow"/>
        </w:rPr>
        <w:t> </w:t>
      </w:r>
      <w:r w:rsidRPr="00E8010D">
        <w:rPr>
          <w:rFonts w:asciiTheme="majorHAnsi" w:hAnsiTheme="majorHAnsi" w:cstheme="majorHAnsi"/>
          <w:b/>
          <w:bCs/>
          <w:noProof/>
          <w:highlight w:val="yellow"/>
        </w:rPr>
        <w:t> </w:t>
      </w:r>
      <w:r w:rsidRPr="00E8010D">
        <w:rPr>
          <w:rFonts w:asciiTheme="majorHAnsi" w:hAnsiTheme="majorHAnsi" w:cstheme="majorHAnsi"/>
          <w:b/>
          <w:bCs/>
          <w:highlight w:val="yellow"/>
        </w:rPr>
        <w:fldChar w:fldCharType="end"/>
      </w:r>
      <w:bookmarkEnd w:id="6"/>
    </w:p>
    <w:p w14:paraId="75236947" w14:textId="037944F0" w:rsidR="00AC550D" w:rsidRPr="00A65AD0" w:rsidRDefault="00AC550D" w:rsidP="00AC550D">
      <w:pPr>
        <w:rPr>
          <w:rFonts w:asciiTheme="majorHAnsi" w:hAnsiTheme="majorHAnsi" w:cstheme="majorHAnsi"/>
        </w:rPr>
      </w:pPr>
      <w:r w:rsidRPr="00106979">
        <w:rPr>
          <w:rFonts w:asciiTheme="majorHAnsi" w:hAnsiTheme="majorHAnsi" w:cstheme="majorHAnsi"/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06979">
        <w:rPr>
          <w:rFonts w:asciiTheme="majorHAnsi" w:hAnsiTheme="majorHAnsi" w:cstheme="majorHAnsi"/>
          <w:highlight w:val="yellow"/>
        </w:rPr>
        <w:instrText xml:space="preserve"> FORMTEXT </w:instrText>
      </w:r>
      <w:r w:rsidRPr="00106979">
        <w:rPr>
          <w:rFonts w:asciiTheme="majorHAnsi" w:hAnsiTheme="majorHAnsi" w:cstheme="majorHAnsi"/>
          <w:highlight w:val="yellow"/>
        </w:rPr>
      </w:r>
      <w:r w:rsidRPr="00106979">
        <w:rPr>
          <w:rFonts w:asciiTheme="majorHAnsi" w:hAnsiTheme="majorHAnsi" w:cstheme="majorHAnsi"/>
          <w:highlight w:val="yellow"/>
        </w:rPr>
        <w:fldChar w:fldCharType="separate"/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noProof/>
          <w:highlight w:val="yellow"/>
        </w:rPr>
        <w:t> </w:t>
      </w:r>
      <w:r w:rsidRPr="00106979">
        <w:rPr>
          <w:rFonts w:asciiTheme="majorHAnsi" w:hAnsiTheme="majorHAnsi" w:cstheme="majorHAnsi"/>
          <w:highlight w:val="yellow"/>
        </w:rPr>
        <w:fldChar w:fldCharType="end"/>
      </w:r>
      <w:bookmarkEnd w:id="7"/>
    </w:p>
    <w:p w14:paraId="6A8AB476" w14:textId="77777777" w:rsidR="00AC550D" w:rsidRPr="00A65AD0" w:rsidRDefault="00AC550D" w:rsidP="00AC550D">
      <w:pPr>
        <w:rPr>
          <w:rFonts w:asciiTheme="majorHAnsi" w:hAnsiTheme="majorHAnsi" w:cstheme="majorHAnsi"/>
        </w:rPr>
      </w:pPr>
    </w:p>
    <w:p w14:paraId="0541F172" w14:textId="77777777" w:rsidR="00FD2FA5" w:rsidRPr="00A65AD0" w:rsidRDefault="00FD2FA5" w:rsidP="00AC550D">
      <w:pPr>
        <w:rPr>
          <w:rFonts w:asciiTheme="majorHAnsi" w:hAnsiTheme="majorHAnsi" w:cstheme="majorHAnsi"/>
        </w:rPr>
      </w:pPr>
    </w:p>
    <w:p w14:paraId="663A13D1" w14:textId="26898862" w:rsidR="00AC550D" w:rsidRPr="00A65AD0" w:rsidRDefault="00AC550D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________________________________________________________</w:t>
      </w:r>
    </w:p>
    <w:p w14:paraId="5D1729EB" w14:textId="6FDDAED8" w:rsidR="00AC550D" w:rsidRPr="00A65AD0" w:rsidRDefault="00FD2FA5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P</w:t>
      </w:r>
      <w:r w:rsidR="00AC550D" w:rsidRPr="00A65AD0">
        <w:rPr>
          <w:rFonts w:asciiTheme="majorHAnsi" w:hAnsiTheme="majorHAnsi" w:cstheme="majorHAnsi"/>
        </w:rPr>
        <w:t>odpis osoby oprávněné jednat za povinného</w:t>
      </w:r>
    </w:p>
    <w:p w14:paraId="5CAFF2E9" w14:textId="77777777" w:rsidR="00AC550D" w:rsidRPr="00A65AD0" w:rsidRDefault="00AC550D" w:rsidP="00AC550D">
      <w:pPr>
        <w:rPr>
          <w:rFonts w:asciiTheme="majorHAnsi" w:hAnsiTheme="majorHAnsi" w:cstheme="majorHAnsi"/>
        </w:rPr>
      </w:pPr>
    </w:p>
    <w:p w14:paraId="6506CCFA" w14:textId="14202D16" w:rsidR="00AC550D" w:rsidRPr="00A65AD0" w:rsidRDefault="00AC550D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lastRenderedPageBreak/>
        <w:t xml:space="preserve">V </w:t>
      </w:r>
      <w:r w:rsidR="00FD2FA5" w:rsidRPr="00A65AD0">
        <w:rPr>
          <w:rFonts w:asciiTheme="majorHAnsi" w:hAnsiTheme="majorHAnsi" w:cstheme="majorHAnsi"/>
        </w:rPr>
        <w:t>Tišnově</w:t>
      </w:r>
      <w:r w:rsidRPr="00A65AD0">
        <w:rPr>
          <w:rFonts w:asciiTheme="majorHAnsi" w:hAnsiTheme="majorHAnsi" w:cstheme="majorHAnsi"/>
        </w:rPr>
        <w:t xml:space="preserve">  dne</w:t>
      </w:r>
    </w:p>
    <w:p w14:paraId="1F1A82C5" w14:textId="77777777" w:rsidR="00530CBB" w:rsidRPr="00E8010D" w:rsidRDefault="00530CBB" w:rsidP="00AC550D">
      <w:pPr>
        <w:rPr>
          <w:rFonts w:asciiTheme="majorHAnsi" w:eastAsia="Times New Roman" w:hAnsiTheme="majorHAnsi" w:cstheme="majorHAnsi"/>
          <w:b/>
          <w:bCs/>
        </w:rPr>
      </w:pPr>
      <w:r w:rsidRPr="00E8010D">
        <w:rPr>
          <w:rFonts w:asciiTheme="majorHAnsi" w:eastAsia="Times New Roman" w:hAnsiTheme="majorHAnsi" w:cstheme="majorHAnsi"/>
          <w:b/>
          <w:bCs/>
        </w:rPr>
        <w:t>Ing. Radim Buček, MBA</w:t>
      </w:r>
    </w:p>
    <w:p w14:paraId="035B71BD" w14:textId="1FB9D012" w:rsidR="00AC550D" w:rsidRPr="00A65AD0" w:rsidRDefault="00530CBB" w:rsidP="00AC550D">
      <w:pPr>
        <w:rPr>
          <w:rFonts w:asciiTheme="majorHAnsi" w:hAnsiTheme="majorHAnsi" w:cstheme="majorHAnsi"/>
        </w:rPr>
      </w:pPr>
      <w:r w:rsidRPr="00A65AD0">
        <w:rPr>
          <w:rFonts w:asciiTheme="majorHAnsi" w:eastAsia="Times New Roman" w:hAnsiTheme="majorHAnsi" w:cstheme="majorHAnsi"/>
        </w:rPr>
        <w:t>jednatel</w:t>
      </w:r>
      <w:r w:rsidRPr="00A65AD0">
        <w:rPr>
          <w:rFonts w:asciiTheme="majorHAnsi" w:hAnsiTheme="majorHAnsi" w:cstheme="majorHAnsi"/>
        </w:rPr>
        <w:t xml:space="preserve"> </w:t>
      </w:r>
    </w:p>
    <w:p w14:paraId="6627068C" w14:textId="77777777" w:rsidR="00AC550D" w:rsidRPr="00A65AD0" w:rsidRDefault="00AC550D" w:rsidP="00AC550D">
      <w:pPr>
        <w:rPr>
          <w:rFonts w:asciiTheme="majorHAnsi" w:hAnsiTheme="majorHAnsi" w:cstheme="majorHAnsi"/>
        </w:rPr>
      </w:pPr>
    </w:p>
    <w:p w14:paraId="7E2A8B98" w14:textId="77777777" w:rsidR="00FD2FA5" w:rsidRPr="00A65AD0" w:rsidRDefault="00FD2FA5" w:rsidP="00AC550D">
      <w:pPr>
        <w:rPr>
          <w:rFonts w:asciiTheme="majorHAnsi" w:hAnsiTheme="majorHAnsi" w:cstheme="majorHAnsi"/>
        </w:rPr>
      </w:pPr>
    </w:p>
    <w:p w14:paraId="02330D1E" w14:textId="4DD84DB9" w:rsidR="00AC550D" w:rsidRPr="00A65AD0" w:rsidRDefault="00AC550D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_______________________________________________________</w:t>
      </w:r>
    </w:p>
    <w:p w14:paraId="7B8AECB8" w14:textId="71EEE2F3" w:rsidR="00AC550D" w:rsidRPr="00A65AD0" w:rsidRDefault="00FD2FA5" w:rsidP="00AC550D">
      <w:pPr>
        <w:rPr>
          <w:rFonts w:asciiTheme="majorHAnsi" w:hAnsiTheme="majorHAnsi" w:cstheme="majorHAnsi"/>
        </w:rPr>
      </w:pPr>
      <w:r w:rsidRPr="00A65AD0">
        <w:rPr>
          <w:rFonts w:asciiTheme="majorHAnsi" w:hAnsiTheme="majorHAnsi" w:cstheme="majorHAnsi"/>
        </w:rPr>
        <w:t>P</w:t>
      </w:r>
      <w:r w:rsidR="00AC550D" w:rsidRPr="00A65AD0">
        <w:rPr>
          <w:rFonts w:asciiTheme="majorHAnsi" w:hAnsiTheme="majorHAnsi" w:cstheme="majorHAnsi"/>
        </w:rPr>
        <w:t>odpis osoby oprávněné jednat za oprávněného</w:t>
      </w:r>
    </w:p>
    <w:p w14:paraId="6450CF0F" w14:textId="77777777" w:rsidR="00493577" w:rsidRDefault="00493577"/>
    <w:sectPr w:rsidR="004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0D"/>
    <w:rsid w:val="00085AAC"/>
    <w:rsid w:val="000A012A"/>
    <w:rsid w:val="00106979"/>
    <w:rsid w:val="00113BF5"/>
    <w:rsid w:val="00121301"/>
    <w:rsid w:val="00132C26"/>
    <w:rsid w:val="00137E30"/>
    <w:rsid w:val="00140875"/>
    <w:rsid w:val="001A04E1"/>
    <w:rsid w:val="00255AF1"/>
    <w:rsid w:val="002B05A7"/>
    <w:rsid w:val="002B5FC2"/>
    <w:rsid w:val="002E0E87"/>
    <w:rsid w:val="003460EF"/>
    <w:rsid w:val="00347A94"/>
    <w:rsid w:val="003A0C64"/>
    <w:rsid w:val="003A6B35"/>
    <w:rsid w:val="003B3851"/>
    <w:rsid w:val="00423FCA"/>
    <w:rsid w:val="00452F38"/>
    <w:rsid w:val="00463620"/>
    <w:rsid w:val="0048687E"/>
    <w:rsid w:val="00493577"/>
    <w:rsid w:val="00530CBB"/>
    <w:rsid w:val="005E2925"/>
    <w:rsid w:val="00635CC5"/>
    <w:rsid w:val="00790A90"/>
    <w:rsid w:val="007F3D20"/>
    <w:rsid w:val="00891F06"/>
    <w:rsid w:val="00911B21"/>
    <w:rsid w:val="009303EA"/>
    <w:rsid w:val="00970438"/>
    <w:rsid w:val="00A65AD0"/>
    <w:rsid w:val="00A94127"/>
    <w:rsid w:val="00AC550D"/>
    <w:rsid w:val="00AD1F46"/>
    <w:rsid w:val="00B561F1"/>
    <w:rsid w:val="00C10FB2"/>
    <w:rsid w:val="00C14340"/>
    <w:rsid w:val="00C24EEE"/>
    <w:rsid w:val="00CC0891"/>
    <w:rsid w:val="00CC485C"/>
    <w:rsid w:val="00CE33A4"/>
    <w:rsid w:val="00D966A4"/>
    <w:rsid w:val="00DA4710"/>
    <w:rsid w:val="00DF62BB"/>
    <w:rsid w:val="00E27079"/>
    <w:rsid w:val="00E472C7"/>
    <w:rsid w:val="00E63AFD"/>
    <w:rsid w:val="00E8010D"/>
    <w:rsid w:val="00F01C84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9C69"/>
  <w15:chartTrackingRefBased/>
  <w15:docId w15:val="{284B38EB-50F2-456E-910F-4A1763C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5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A04E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01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1C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1C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C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C84"/>
    <w:rPr>
      <w:b/>
      <w:bCs/>
      <w:sz w:val="20"/>
      <w:szCs w:val="20"/>
    </w:rPr>
  </w:style>
  <w:style w:type="character" w:styleId="Siln">
    <w:name w:val="Strong"/>
    <w:uiPriority w:val="22"/>
    <w:qFormat/>
    <w:rsid w:val="0048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998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Prášková</dc:creator>
  <cp:keywords/>
  <dc:description/>
  <cp:lastModifiedBy>Iveta Prášková</cp:lastModifiedBy>
  <cp:revision>47</cp:revision>
  <dcterms:created xsi:type="dcterms:W3CDTF">2022-12-08T07:50:00Z</dcterms:created>
  <dcterms:modified xsi:type="dcterms:W3CDTF">2023-01-17T13:48:00Z</dcterms:modified>
</cp:coreProperties>
</file>